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FB" w:rsidRDefault="004A59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FB" w:rsidRPr="004A596B" w:rsidRDefault="004A596B">
      <w:pPr>
        <w:spacing w:after="0"/>
        <w:rPr>
          <w:lang w:val="ru-RU"/>
        </w:rPr>
      </w:pPr>
      <w:r w:rsidRPr="004A596B">
        <w:rPr>
          <w:b/>
          <w:color w:val="000000"/>
          <w:lang w:val="ru-RU"/>
        </w:rPr>
        <w:t>Об утверждении формы проверочного листа и критериев оценки степени рисков деятельности государственных учреждений по соблюдению законодательства об авторском праве и смежных правах</w:t>
      </w:r>
    </w:p>
    <w:p w:rsidR="00E375FB" w:rsidRDefault="004A596B">
      <w:pPr>
        <w:spacing w:after="0"/>
      </w:pPr>
      <w:r w:rsidRPr="004A596B">
        <w:rPr>
          <w:color w:val="000000"/>
          <w:sz w:val="20"/>
          <w:lang w:val="ru-RU"/>
        </w:rPr>
        <w:t xml:space="preserve">Приказ Министра юстиции Республики Казахстан от 30 января 2014 года № </w:t>
      </w:r>
      <w:r w:rsidRPr="004A596B">
        <w:rPr>
          <w:color w:val="000000"/>
          <w:sz w:val="20"/>
          <w:lang w:val="ru-RU"/>
        </w:rPr>
        <w:t xml:space="preserve">35.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февраля</w:t>
      </w:r>
      <w:proofErr w:type="spellEnd"/>
      <w:r>
        <w:rPr>
          <w:color w:val="000000"/>
          <w:sz w:val="20"/>
        </w:rPr>
        <w:t xml:space="preserve"> 2014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9147</w:t>
      </w:r>
    </w:p>
    <w:p w:rsidR="00E375FB" w:rsidRDefault="00E375FB">
      <w:pPr>
        <w:spacing w:after="0"/>
      </w:pPr>
    </w:p>
    <w:p w:rsidR="00E375FB" w:rsidRDefault="004A596B">
      <w:pPr>
        <w:spacing w:after="0"/>
      </w:pPr>
      <w:r>
        <w:rPr>
          <w:color w:val="000000"/>
          <w:sz w:val="20"/>
        </w:rPr>
        <w:t xml:space="preserve">      </w:t>
      </w:r>
      <w:r w:rsidRPr="004A596B">
        <w:rPr>
          <w:color w:val="000000"/>
          <w:sz w:val="20"/>
          <w:lang w:val="ru-RU"/>
        </w:rPr>
        <w:t>В соответствии со</w:t>
      </w:r>
      <w:r>
        <w:rPr>
          <w:color w:val="000000"/>
          <w:sz w:val="20"/>
        </w:rPr>
        <w:t> </w:t>
      </w:r>
      <w:r w:rsidRPr="004A596B">
        <w:rPr>
          <w:color w:val="000000"/>
          <w:sz w:val="20"/>
          <w:lang w:val="ru-RU"/>
        </w:rPr>
        <w:t>статьями 13 и</w:t>
      </w:r>
      <w:r>
        <w:rPr>
          <w:color w:val="000000"/>
          <w:sz w:val="20"/>
        </w:rPr>
        <w:t> </w:t>
      </w:r>
      <w:r w:rsidRPr="004A596B">
        <w:rPr>
          <w:color w:val="000000"/>
          <w:sz w:val="20"/>
          <w:lang w:val="ru-RU"/>
        </w:rPr>
        <w:t>15 Закона Республики Казахстан от 6 января 2011 года «О государственном контроле и надзоре в Республике Казахстан» и</w:t>
      </w:r>
      <w:r>
        <w:rPr>
          <w:color w:val="000000"/>
          <w:sz w:val="20"/>
        </w:rPr>
        <w:t> </w:t>
      </w:r>
      <w:r w:rsidRPr="004A596B">
        <w:rPr>
          <w:color w:val="000000"/>
          <w:sz w:val="20"/>
          <w:lang w:val="ru-RU"/>
        </w:rPr>
        <w:t xml:space="preserve">пунктом </w:t>
      </w:r>
      <w:r w:rsidRPr="004A596B">
        <w:rPr>
          <w:color w:val="000000"/>
          <w:sz w:val="20"/>
          <w:lang w:val="ru-RU"/>
        </w:rPr>
        <w:t>1 статьи 22-1 Закона Республ</w:t>
      </w:r>
      <w:bookmarkStart w:id="0" w:name="_GoBack"/>
      <w:bookmarkEnd w:id="0"/>
      <w:r w:rsidRPr="004A596B">
        <w:rPr>
          <w:color w:val="000000"/>
          <w:sz w:val="20"/>
          <w:lang w:val="ru-RU"/>
        </w:rPr>
        <w:t xml:space="preserve">ики Казахстан от 18 марта 2002 года «Об органах юстиции», </w:t>
      </w:r>
      <w:r w:rsidRPr="004A596B">
        <w:rPr>
          <w:b/>
          <w:color w:val="000000"/>
          <w:sz w:val="20"/>
          <w:lang w:val="ru-RU"/>
        </w:rPr>
        <w:t>ПРИКАЗЫВАЮ</w:t>
      </w:r>
      <w:r w:rsidRPr="004A596B">
        <w:rPr>
          <w:color w:val="000000"/>
          <w:sz w:val="20"/>
          <w:lang w:val="ru-RU"/>
        </w:rPr>
        <w:t>: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учреждений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смежны</w:t>
      </w:r>
      <w:r>
        <w:rPr>
          <w:color w:val="000000"/>
          <w:sz w:val="20"/>
        </w:rPr>
        <w:t>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учреждений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смежных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4A596B">
        <w:rPr>
          <w:color w:val="000000"/>
          <w:sz w:val="20"/>
          <w:lang w:val="ru-RU"/>
        </w:rPr>
        <w:t>2. Комитет</w:t>
      </w:r>
      <w:r w:rsidRPr="004A596B">
        <w:rPr>
          <w:color w:val="000000"/>
          <w:sz w:val="20"/>
          <w:lang w:val="ru-RU"/>
        </w:rPr>
        <w:t>у по правам интеллектуальной собственности Министерства юстиции Республики Казахстан (</w:t>
      </w:r>
      <w:proofErr w:type="spellStart"/>
      <w:r w:rsidRPr="004A596B">
        <w:rPr>
          <w:color w:val="000000"/>
          <w:sz w:val="20"/>
          <w:lang w:val="ru-RU"/>
        </w:rPr>
        <w:t>Естаеву</w:t>
      </w:r>
      <w:proofErr w:type="spellEnd"/>
      <w:r w:rsidRPr="004A596B">
        <w:rPr>
          <w:color w:val="000000"/>
          <w:sz w:val="20"/>
          <w:lang w:val="ru-RU"/>
        </w:rPr>
        <w:t xml:space="preserve"> А.К.):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1) обеспечить государственную регистрацию настоящего приказа в Министерстве юстиции Республики Казахстан;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2) после государственной регистрации </w:t>
      </w:r>
      <w:r w:rsidRPr="004A596B">
        <w:rPr>
          <w:color w:val="000000"/>
          <w:sz w:val="20"/>
          <w:lang w:val="ru-RU"/>
        </w:rPr>
        <w:t>настоящего приказа обеспечить его официальное опубликование;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3) обеспечить опубликование настоящего приказа на Интернет-ресурсе Министерства юстиции Республики Казахстан.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заместителя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</w:t>
      </w:r>
      <w:r>
        <w:rPr>
          <w:color w:val="000000"/>
          <w:sz w:val="20"/>
        </w:rPr>
        <w:t>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Азимову</w:t>
      </w:r>
      <w:proofErr w:type="spellEnd"/>
      <w:r>
        <w:rPr>
          <w:color w:val="000000"/>
          <w:sz w:val="20"/>
        </w:rPr>
        <w:t xml:space="preserve"> Э.А.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p w:rsidR="00E375FB" w:rsidRDefault="00E375FB">
      <w:pPr>
        <w:spacing w:after="0"/>
      </w:pPr>
    </w:p>
    <w:p w:rsidR="00E375FB" w:rsidRPr="004A596B" w:rsidRDefault="004A596B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4A596B">
        <w:rPr>
          <w:i/>
          <w:color w:val="000000"/>
          <w:sz w:val="20"/>
          <w:lang w:val="ru-RU"/>
        </w:rPr>
        <w:t>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4A596B">
        <w:rPr>
          <w:i/>
          <w:color w:val="000000"/>
          <w:sz w:val="20"/>
          <w:lang w:val="ru-RU"/>
        </w:rPr>
        <w:t xml:space="preserve"> Б. </w:t>
      </w:r>
      <w:proofErr w:type="spellStart"/>
      <w:r w:rsidRPr="004A596B">
        <w:rPr>
          <w:i/>
          <w:color w:val="000000"/>
          <w:sz w:val="20"/>
          <w:lang w:val="ru-RU"/>
        </w:rPr>
        <w:t>Имашев</w:t>
      </w:r>
      <w:proofErr w:type="spellEnd"/>
    </w:p>
    <w:p w:rsidR="00E375FB" w:rsidRPr="004A596B" w:rsidRDefault="00E375FB">
      <w:pPr>
        <w:spacing w:after="0"/>
        <w:rPr>
          <w:lang w:val="ru-RU"/>
        </w:rPr>
      </w:pPr>
    </w:p>
    <w:p w:rsidR="00E375FB" w:rsidRPr="004A596B" w:rsidRDefault="004A596B">
      <w:pPr>
        <w:spacing w:after="0"/>
        <w:jc w:val="right"/>
        <w:rPr>
          <w:lang w:val="ru-RU"/>
        </w:rPr>
      </w:pPr>
      <w:r w:rsidRPr="004A596B">
        <w:rPr>
          <w:color w:val="000000"/>
          <w:sz w:val="20"/>
          <w:lang w:val="ru-RU"/>
        </w:rPr>
        <w:t xml:space="preserve">  Приложение </w:t>
      </w:r>
      <w:r w:rsidRPr="004A596B">
        <w:rPr>
          <w:color w:val="000000"/>
          <w:sz w:val="20"/>
          <w:lang w:val="ru-RU"/>
        </w:rPr>
        <w:t>1</w:t>
      </w:r>
      <w:r>
        <w:rPr>
          <w:color w:val="000000"/>
          <w:sz w:val="20"/>
        </w:rPr>
        <w:t>            </w:t>
      </w:r>
      <w:r w:rsidRPr="004A596B">
        <w:rPr>
          <w:color w:val="000000"/>
          <w:sz w:val="20"/>
          <w:lang w:val="ru-RU"/>
        </w:rPr>
        <w:t xml:space="preserve"> </w:t>
      </w:r>
      <w:r w:rsidRPr="004A596B">
        <w:rPr>
          <w:lang w:val="ru-RU"/>
        </w:rPr>
        <w:br/>
      </w:r>
      <w:r w:rsidRPr="004A596B">
        <w:rPr>
          <w:color w:val="000000"/>
          <w:sz w:val="20"/>
          <w:lang w:val="ru-RU"/>
        </w:rPr>
        <w:t xml:space="preserve"> к приказу Министра юстиции</w:t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</w:t>
      </w:r>
      <w:r w:rsidRPr="004A596B">
        <w:rPr>
          <w:lang w:val="ru-RU"/>
        </w:rPr>
        <w:br/>
      </w:r>
      <w:r w:rsidRPr="004A596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4A596B">
        <w:rPr>
          <w:color w:val="000000"/>
          <w:sz w:val="20"/>
          <w:lang w:val="ru-RU"/>
        </w:rPr>
        <w:t xml:space="preserve"> </w:t>
      </w:r>
      <w:r w:rsidRPr="004A596B">
        <w:rPr>
          <w:lang w:val="ru-RU"/>
        </w:rPr>
        <w:br/>
      </w:r>
      <w:r w:rsidRPr="004A596B">
        <w:rPr>
          <w:color w:val="000000"/>
          <w:sz w:val="20"/>
          <w:lang w:val="ru-RU"/>
        </w:rPr>
        <w:t xml:space="preserve"> от 30 января 2014 года № 35</w:t>
      </w:r>
      <w:r>
        <w:rPr>
          <w:color w:val="000000"/>
          <w:sz w:val="20"/>
        </w:rPr>
        <w:t>    </w:t>
      </w:r>
      <w:r w:rsidRPr="004A596B">
        <w:rPr>
          <w:color w:val="000000"/>
          <w:sz w:val="20"/>
          <w:lang w:val="ru-RU"/>
        </w:rPr>
        <w:t xml:space="preserve"> </w:t>
      </w:r>
    </w:p>
    <w:p w:rsidR="00E375FB" w:rsidRPr="004A596B" w:rsidRDefault="00E375FB">
      <w:pPr>
        <w:spacing w:after="0"/>
        <w:rPr>
          <w:lang w:val="ru-RU"/>
        </w:rPr>
      </w:pPr>
    </w:p>
    <w:p w:rsidR="00E375FB" w:rsidRPr="004A596B" w:rsidRDefault="004A596B">
      <w:pPr>
        <w:spacing w:after="0"/>
        <w:rPr>
          <w:lang w:val="ru-RU"/>
        </w:rPr>
      </w:pPr>
      <w:r w:rsidRPr="004A596B">
        <w:rPr>
          <w:b/>
          <w:color w:val="000000"/>
          <w:lang w:val="ru-RU"/>
        </w:rPr>
        <w:t xml:space="preserve">   Критерии оценки степени рисков деятельности государственных</w:t>
      </w:r>
      <w:r w:rsidRPr="004A596B">
        <w:rPr>
          <w:lang w:val="ru-RU"/>
        </w:rPr>
        <w:br/>
      </w:r>
      <w:r w:rsidRPr="004A596B">
        <w:rPr>
          <w:b/>
          <w:color w:val="000000"/>
          <w:lang w:val="ru-RU"/>
        </w:rPr>
        <w:t>учреждений по соблюдению законодательства об авторском праве и</w:t>
      </w:r>
      <w:r w:rsidRPr="004A596B">
        <w:rPr>
          <w:lang w:val="ru-RU"/>
        </w:rPr>
        <w:br/>
      </w:r>
      <w:r w:rsidRPr="004A596B">
        <w:rPr>
          <w:b/>
          <w:color w:val="000000"/>
          <w:lang w:val="ru-RU"/>
        </w:rPr>
        <w:t>смежных правах</w:t>
      </w:r>
    </w:p>
    <w:p w:rsidR="00E375FB" w:rsidRPr="004A596B" w:rsidRDefault="00E375FB">
      <w:pPr>
        <w:spacing w:after="0"/>
        <w:rPr>
          <w:lang w:val="ru-RU"/>
        </w:rPr>
      </w:pPr>
    </w:p>
    <w:p w:rsidR="00E375FB" w:rsidRDefault="004A596B">
      <w:pPr>
        <w:spacing w:after="0"/>
      </w:pP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1. Критерии оценки степени рисков деятельности государственных учреждений по соблюдению законодательства об авторском праве и смежных правах (далее – Критерии) разработаны для проведения плановых проверок субъектов, использующих объекты авторского пр</w:t>
      </w:r>
      <w:r w:rsidRPr="004A596B">
        <w:rPr>
          <w:color w:val="000000"/>
          <w:sz w:val="20"/>
          <w:lang w:val="ru-RU"/>
        </w:rPr>
        <w:t>ава и смежных прав (далее – субъекты).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риск – вероятность причинения вреда в результате деятельности проверяемого субъекта законным интересам авторов, субъектов смежных прав или их правоо</w:t>
      </w:r>
      <w:r w:rsidRPr="004A596B">
        <w:rPr>
          <w:color w:val="000000"/>
          <w:sz w:val="20"/>
          <w:lang w:val="ru-RU"/>
        </w:rPr>
        <w:t>бладателям;</w:t>
      </w:r>
      <w:r w:rsidRPr="004A59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4A596B">
        <w:rPr>
          <w:color w:val="000000"/>
          <w:sz w:val="20"/>
          <w:lang w:val="ru-RU"/>
        </w:rPr>
        <w:t xml:space="preserve"> субъекты контроля – государственные учреждения, создаваемые государством в соответствии с</w:t>
      </w:r>
      <w:r>
        <w:rPr>
          <w:color w:val="000000"/>
          <w:sz w:val="20"/>
        </w:rPr>
        <w:t> </w:t>
      </w:r>
      <w:r w:rsidRPr="004A596B">
        <w:rPr>
          <w:color w:val="000000"/>
          <w:sz w:val="20"/>
          <w:lang w:val="ru-RU"/>
        </w:rPr>
        <w:t xml:space="preserve">Конституцией Республики Казахстан и законодательными актами Республики Казахстан или нормативными правовыми актами Президента Республики Казахстан, </w:t>
      </w:r>
      <w:r w:rsidRPr="004A596B">
        <w:rPr>
          <w:color w:val="000000"/>
          <w:sz w:val="20"/>
          <w:lang w:val="ru-RU"/>
        </w:rPr>
        <w:t>Правительства Республики Казахстан и местных исполнительных органов областей, городов республиканского значения, столицы, районов, городов областного значения и содержащееся только за счет бюджета или бюджета (сметы расходов) Национального Банка Республики</w:t>
      </w:r>
      <w:r w:rsidRPr="004A596B">
        <w:rPr>
          <w:color w:val="000000"/>
          <w:sz w:val="20"/>
          <w:lang w:val="ru-RU"/>
        </w:rPr>
        <w:t xml:space="preserve"> Казахстан, если дополнительные источники финансирования не установлены законодательными актами Республики Казахстан.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Первично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группе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Вторичное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отраслевой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авторского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смежных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внеплановых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качественными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4A596B">
        <w:rPr>
          <w:color w:val="000000"/>
          <w:sz w:val="20"/>
          <w:lang w:val="ru-RU"/>
        </w:rPr>
        <w:t>5.</w:t>
      </w:r>
      <w:r w:rsidRPr="004A596B">
        <w:rPr>
          <w:color w:val="000000"/>
          <w:sz w:val="20"/>
          <w:lang w:val="ru-RU"/>
        </w:rPr>
        <w:t xml:space="preserve"> В зависимости от качественных критериев оценки степени рисков субъекты переходят в высокую, среднюю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Качественные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оцениваются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баллах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использование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смежных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дог</w:t>
      </w:r>
      <w:r>
        <w:rPr>
          <w:color w:val="000000"/>
          <w:sz w:val="20"/>
        </w:rPr>
        <w:t>овора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правообладателем</w:t>
      </w:r>
      <w:proofErr w:type="spellEnd"/>
      <w:r>
        <w:rPr>
          <w:color w:val="000000"/>
          <w:sz w:val="20"/>
        </w:rPr>
        <w:t xml:space="preserve"> – 3 </w:t>
      </w:r>
      <w:proofErr w:type="spellStart"/>
      <w:r>
        <w:rPr>
          <w:color w:val="000000"/>
          <w:sz w:val="20"/>
        </w:rPr>
        <w:t>балла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изготовление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распространение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сдача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прокат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пользование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импорт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дохода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случаях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результате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действий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становится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невозможным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</w:t>
      </w:r>
      <w:r>
        <w:rPr>
          <w:color w:val="000000"/>
          <w:sz w:val="20"/>
        </w:rPr>
        <w:t>спользование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смежных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могут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надлежащую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– 2 </w:t>
      </w:r>
      <w:proofErr w:type="spellStart"/>
      <w:r>
        <w:rPr>
          <w:color w:val="000000"/>
          <w:sz w:val="20"/>
        </w:rPr>
        <w:t>балла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осуществление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правообладателя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действий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направлен</w:t>
      </w:r>
      <w:r>
        <w:rPr>
          <w:color w:val="000000"/>
          <w:sz w:val="20"/>
        </w:rPr>
        <w:t>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снятие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ограничений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смежных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смежных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– 1 </w:t>
      </w:r>
      <w:proofErr w:type="spellStart"/>
      <w:r>
        <w:rPr>
          <w:color w:val="000000"/>
          <w:sz w:val="20"/>
        </w:rPr>
        <w:t>балл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удаление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правообладат</w:t>
      </w:r>
      <w:r>
        <w:rPr>
          <w:color w:val="000000"/>
          <w:sz w:val="20"/>
        </w:rPr>
        <w:t>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правами</w:t>
      </w:r>
      <w:proofErr w:type="spellEnd"/>
      <w:r>
        <w:rPr>
          <w:color w:val="000000"/>
          <w:sz w:val="20"/>
        </w:rPr>
        <w:t xml:space="preserve"> – 1 </w:t>
      </w:r>
      <w:proofErr w:type="spellStart"/>
      <w:r>
        <w:rPr>
          <w:color w:val="000000"/>
          <w:sz w:val="20"/>
        </w:rPr>
        <w:t>балл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воспроизведение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распространение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импорт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распространения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публичное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сообщение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всеобщего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кабелю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передача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эфир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доведение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всеобщего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смежных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правообладателя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была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удалена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имущественными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правами</w:t>
      </w:r>
      <w:proofErr w:type="spellEnd"/>
      <w:r>
        <w:rPr>
          <w:color w:val="000000"/>
          <w:sz w:val="20"/>
        </w:rPr>
        <w:t xml:space="preserve"> – 1 </w:t>
      </w:r>
      <w:proofErr w:type="spellStart"/>
      <w:r>
        <w:rPr>
          <w:color w:val="000000"/>
          <w:sz w:val="20"/>
        </w:rPr>
        <w:t>балл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Распределение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</w:t>
      </w:r>
      <w:r>
        <w:rPr>
          <w:color w:val="000000"/>
          <w:sz w:val="20"/>
        </w:rPr>
        <w:t>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набравшие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6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8 </w:t>
      </w:r>
      <w:proofErr w:type="spellStart"/>
      <w:r>
        <w:rPr>
          <w:color w:val="000000"/>
          <w:sz w:val="20"/>
        </w:rPr>
        <w:t>баллов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к </w:t>
      </w:r>
      <w:proofErr w:type="spellStart"/>
      <w:r>
        <w:rPr>
          <w:color w:val="000000"/>
          <w:sz w:val="20"/>
        </w:rPr>
        <w:t>средней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набравшие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баллов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к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</w:t>
      </w:r>
      <w:r>
        <w:rPr>
          <w:color w:val="000000"/>
          <w:sz w:val="20"/>
        </w:rPr>
        <w:t>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набравшие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баллов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Периодичность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вторичных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устанавливается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следующем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пять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лет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</w:p>
    <w:p w:rsidR="00E375FB" w:rsidRDefault="00E375FB">
      <w:pPr>
        <w:spacing w:after="0"/>
      </w:pPr>
    </w:p>
    <w:p w:rsidR="00E375FB" w:rsidRPr="004A596B" w:rsidRDefault="004A596B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 xml:space="preserve">  </w:t>
      </w:r>
      <w:r w:rsidRPr="004A596B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  </w:t>
      </w:r>
      <w:r w:rsidRPr="004A596B">
        <w:rPr>
          <w:color w:val="000000"/>
          <w:sz w:val="20"/>
          <w:lang w:val="ru-RU"/>
        </w:rPr>
        <w:t xml:space="preserve"> </w:t>
      </w:r>
      <w:r w:rsidRPr="004A596B">
        <w:rPr>
          <w:lang w:val="ru-RU"/>
        </w:rPr>
        <w:br/>
      </w:r>
      <w:r w:rsidRPr="004A596B">
        <w:rPr>
          <w:color w:val="000000"/>
          <w:sz w:val="20"/>
          <w:lang w:val="ru-RU"/>
        </w:rPr>
        <w:t xml:space="preserve"> к приказу Министра юстиции</w:t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</w:t>
      </w:r>
      <w:r w:rsidRPr="004A596B">
        <w:rPr>
          <w:lang w:val="ru-RU"/>
        </w:rPr>
        <w:br/>
      </w:r>
      <w:r w:rsidRPr="004A596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4A596B">
        <w:rPr>
          <w:color w:val="000000"/>
          <w:sz w:val="20"/>
          <w:lang w:val="ru-RU"/>
        </w:rPr>
        <w:t xml:space="preserve"> </w:t>
      </w:r>
      <w:r w:rsidRPr="004A596B">
        <w:rPr>
          <w:lang w:val="ru-RU"/>
        </w:rPr>
        <w:br/>
      </w:r>
      <w:r w:rsidRPr="004A596B">
        <w:rPr>
          <w:color w:val="000000"/>
          <w:sz w:val="20"/>
          <w:lang w:val="ru-RU"/>
        </w:rPr>
        <w:t xml:space="preserve"> от 30 января 2014 года № 35</w:t>
      </w:r>
      <w:r>
        <w:rPr>
          <w:color w:val="000000"/>
          <w:sz w:val="20"/>
        </w:rPr>
        <w:t>    </w:t>
      </w:r>
      <w:r w:rsidRPr="004A596B">
        <w:rPr>
          <w:color w:val="000000"/>
          <w:sz w:val="20"/>
          <w:lang w:val="ru-RU"/>
        </w:rPr>
        <w:t xml:space="preserve"> </w:t>
      </w:r>
    </w:p>
    <w:p w:rsidR="00E375FB" w:rsidRPr="004A596B" w:rsidRDefault="00E375FB">
      <w:pPr>
        <w:spacing w:after="0"/>
        <w:rPr>
          <w:lang w:val="ru-RU"/>
        </w:rPr>
      </w:pPr>
    </w:p>
    <w:p w:rsidR="00E375FB" w:rsidRPr="004A596B" w:rsidRDefault="004A596B">
      <w:pPr>
        <w:spacing w:after="0"/>
        <w:jc w:val="right"/>
        <w:rPr>
          <w:lang w:val="ru-RU"/>
        </w:rPr>
      </w:pPr>
      <w:r w:rsidRPr="004A596B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4A596B">
        <w:rPr>
          <w:color w:val="000000"/>
          <w:sz w:val="20"/>
          <w:lang w:val="ru-RU"/>
        </w:rPr>
        <w:t xml:space="preserve"> </w:t>
      </w:r>
    </w:p>
    <w:p w:rsidR="00E375FB" w:rsidRPr="004A596B" w:rsidRDefault="00E375FB">
      <w:pPr>
        <w:spacing w:after="0"/>
        <w:rPr>
          <w:lang w:val="ru-RU"/>
        </w:rPr>
      </w:pPr>
    </w:p>
    <w:p w:rsidR="00E375FB" w:rsidRPr="004A596B" w:rsidRDefault="004A5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4A5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A596B">
        <w:rPr>
          <w:b/>
          <w:color w:val="000000"/>
          <w:sz w:val="20"/>
          <w:lang w:val="ru-RU"/>
        </w:rPr>
        <w:t>Проверочный лист деятельности государстве</w:t>
      </w:r>
      <w:r w:rsidRPr="004A596B">
        <w:rPr>
          <w:b/>
          <w:color w:val="000000"/>
          <w:sz w:val="20"/>
          <w:lang w:val="ru-RU"/>
        </w:rPr>
        <w:t>нных учреждений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4A5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A596B">
        <w:rPr>
          <w:b/>
          <w:color w:val="000000"/>
          <w:sz w:val="20"/>
          <w:lang w:val="ru-RU"/>
        </w:rPr>
        <w:t>по соблюдению законодательства об авторском праве и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4A5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A596B">
        <w:rPr>
          <w:b/>
          <w:color w:val="000000"/>
          <w:sz w:val="20"/>
          <w:lang w:val="ru-RU"/>
        </w:rPr>
        <w:t>смежных правах</w:t>
      </w:r>
    </w:p>
    <w:p w:rsidR="00E375FB" w:rsidRPr="004A596B" w:rsidRDefault="00E375FB">
      <w:pPr>
        <w:spacing w:after="0"/>
        <w:rPr>
          <w:lang w:val="ru-RU"/>
        </w:rPr>
      </w:pPr>
    </w:p>
    <w:p w:rsidR="00E375FB" w:rsidRPr="004A596B" w:rsidRDefault="004A5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Орган юстиции, назначивший проверку ___________________________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___________________________________________________________</w:t>
      </w:r>
      <w:r w:rsidRPr="004A596B">
        <w:rPr>
          <w:color w:val="000000"/>
          <w:sz w:val="20"/>
          <w:lang w:val="ru-RU"/>
        </w:rPr>
        <w:t>____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Акт о назначении проверки _____________________________________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</w:t>
      </w:r>
      <w:r w:rsidRPr="004A596B">
        <w:rPr>
          <w:color w:val="000000"/>
          <w:sz w:val="20"/>
          <w:lang w:val="ru-RU"/>
        </w:rPr>
        <w:t xml:space="preserve"> (№, дата)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Наименование субъекта контроля, использующего объекты</w:t>
      </w:r>
      <w:r w:rsidRPr="004A596B">
        <w:rPr>
          <w:lang w:val="ru-RU"/>
        </w:rPr>
        <w:br/>
      </w:r>
      <w:r w:rsidRPr="004A596B">
        <w:rPr>
          <w:color w:val="000000"/>
          <w:sz w:val="20"/>
          <w:lang w:val="ru-RU"/>
        </w:rPr>
        <w:t>авторского и смежных прав ________________________________________</w:t>
      </w:r>
      <w:r w:rsidRPr="004A596B">
        <w:rPr>
          <w:color w:val="000000"/>
          <w:sz w:val="20"/>
          <w:lang w:val="ru-RU"/>
        </w:rPr>
        <w:t>___</w:t>
      </w:r>
    </w:p>
    <w:p w:rsidR="00E375FB" w:rsidRPr="004A596B" w:rsidRDefault="00E375FB">
      <w:pPr>
        <w:spacing w:after="0"/>
        <w:rPr>
          <w:lang w:val="ru-RU"/>
        </w:rPr>
      </w:pPr>
    </w:p>
    <w:p w:rsidR="00E375FB" w:rsidRPr="004A596B" w:rsidRDefault="00E375FB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"/>
        <w:gridCol w:w="3704"/>
        <w:gridCol w:w="733"/>
        <w:gridCol w:w="774"/>
        <w:gridCol w:w="2260"/>
        <w:gridCol w:w="1830"/>
      </w:tblGrid>
      <w:tr w:rsidR="00E375FB">
        <w:trPr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законодательства</w:t>
            </w:r>
            <w:proofErr w:type="spellEnd"/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E375FB">
        <w:trPr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правообладателями</w:t>
            </w:r>
            <w:proofErr w:type="spellEnd"/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0"/>
            </w:pPr>
            <w: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0"/>
            </w:pPr>
            <w:r>
              <w:br/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0"/>
            </w:pPr>
            <w: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0"/>
            </w:pPr>
            <w:r>
              <w:br/>
            </w:r>
          </w:p>
        </w:tc>
      </w:tr>
      <w:tr w:rsidR="00E375FB" w:rsidRPr="004A596B">
        <w:trPr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20"/>
              <w:ind w:left="20"/>
              <w:rPr>
                <w:lang w:val="ru-RU"/>
              </w:rPr>
            </w:pPr>
            <w:r w:rsidRPr="004A596B">
              <w:rPr>
                <w:color w:val="000000"/>
                <w:sz w:val="20"/>
                <w:lang w:val="ru-RU"/>
              </w:rPr>
              <w:t>Наличие договора купли-продажи, накладных, квитанции, подтверждение выплаты вознаграждений авторам и иным правообладателям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</w:tr>
      <w:tr w:rsidR="00E375FB" w:rsidRPr="004A596B">
        <w:trPr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20"/>
              <w:ind w:left="20"/>
              <w:rPr>
                <w:lang w:val="ru-RU"/>
              </w:rPr>
            </w:pPr>
            <w:r w:rsidRPr="004A596B">
              <w:rPr>
                <w:color w:val="000000"/>
                <w:sz w:val="20"/>
                <w:lang w:val="ru-RU"/>
              </w:rPr>
              <w:t>Соответствие поименного перечня объектов интеллектуальной собственности, на которые переданы права (приложение к договорам или товарные накладные в зависимости от условий договора)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</w:tr>
      <w:tr w:rsidR="00E375FB" w:rsidRPr="004A596B">
        <w:trPr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Default="004A596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20"/>
              <w:ind w:left="20"/>
              <w:rPr>
                <w:lang w:val="ru-RU"/>
              </w:rPr>
            </w:pPr>
            <w:r w:rsidRPr="004A596B">
              <w:rPr>
                <w:color w:val="000000"/>
                <w:sz w:val="20"/>
                <w:lang w:val="ru-RU"/>
              </w:rPr>
              <w:t>Соответствие объектов (экземпляров) интеллектуальной собственности требованиям правообладателей (в зависимости от условий договора)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75FB" w:rsidRPr="004A596B" w:rsidRDefault="004A596B">
            <w:pPr>
              <w:spacing w:after="0"/>
              <w:rPr>
                <w:lang w:val="ru-RU"/>
              </w:rPr>
            </w:pPr>
            <w:r w:rsidRPr="004A596B">
              <w:rPr>
                <w:lang w:val="ru-RU"/>
              </w:rPr>
              <w:br/>
            </w:r>
          </w:p>
        </w:tc>
      </w:tr>
    </w:tbl>
    <w:p w:rsidR="00E375FB" w:rsidRPr="004A596B" w:rsidRDefault="00E375FB">
      <w:pPr>
        <w:spacing w:after="0"/>
        <w:rPr>
          <w:lang w:val="ru-RU"/>
        </w:rPr>
      </w:pPr>
    </w:p>
    <w:p w:rsidR="00E375FB" w:rsidRDefault="004A596B">
      <w:pPr>
        <w:spacing w:after="0"/>
      </w:pP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Должностные лица, проводившие проверку: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</w:t>
      </w:r>
      <w:r w:rsidRPr="004A596B">
        <w:rPr>
          <w:color w:val="000000"/>
          <w:sz w:val="20"/>
          <w:lang w:val="ru-RU"/>
        </w:rPr>
        <w:t>_______________________________________________________________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4A596B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</w:t>
      </w:r>
      <w:r w:rsidRPr="004A596B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</w:t>
      </w:r>
      <w:r w:rsidRPr="004A596B">
        <w:rPr>
          <w:color w:val="000000"/>
          <w:sz w:val="20"/>
          <w:lang w:val="ru-RU"/>
        </w:rPr>
        <w:t xml:space="preserve"> (Ф.И.О.)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        (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>)        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            (Ф.И.О.)</w:t>
      </w:r>
    </w:p>
    <w:p w:rsidR="00E375FB" w:rsidRDefault="00E375FB">
      <w:pPr>
        <w:spacing w:after="0"/>
      </w:pPr>
    </w:p>
    <w:p w:rsidR="00E375FB" w:rsidRPr="004A596B" w:rsidRDefault="004A5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</w:t>
      </w:r>
      <w:r w:rsidRPr="004A596B">
        <w:rPr>
          <w:color w:val="000000"/>
          <w:sz w:val="20"/>
          <w:lang w:val="ru-RU"/>
        </w:rPr>
        <w:t>Ознакомлен субъект контроля: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</w:t>
      </w:r>
      <w:r w:rsidRPr="004A596B">
        <w:rPr>
          <w:color w:val="000000"/>
          <w:sz w:val="20"/>
          <w:lang w:val="ru-RU"/>
        </w:rPr>
        <w:t xml:space="preserve"> _______________________________________________________________</w:t>
      </w:r>
      <w:r w:rsidRPr="004A596B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4A596B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</w:t>
      </w:r>
      <w:r w:rsidRPr="004A596B">
        <w:rPr>
          <w:color w:val="000000"/>
          <w:sz w:val="20"/>
          <w:lang w:val="ru-RU"/>
        </w:rPr>
        <w:t xml:space="preserve"> (подпись)</w:t>
      </w:r>
    </w:p>
    <w:p w:rsidR="00E375FB" w:rsidRPr="004A596B" w:rsidRDefault="004A596B">
      <w:pPr>
        <w:spacing w:after="0"/>
        <w:rPr>
          <w:lang w:val="ru-RU"/>
        </w:rPr>
      </w:pPr>
      <w:r w:rsidRPr="004A596B">
        <w:rPr>
          <w:lang w:val="ru-RU"/>
        </w:rPr>
        <w:br/>
      </w:r>
      <w:r w:rsidRPr="004A596B">
        <w:rPr>
          <w:lang w:val="ru-RU"/>
        </w:rPr>
        <w:br/>
      </w:r>
    </w:p>
    <w:p w:rsidR="00E375FB" w:rsidRPr="004A596B" w:rsidRDefault="004A596B">
      <w:pPr>
        <w:pStyle w:val="disclaimer"/>
        <w:rPr>
          <w:lang w:val="ru-RU"/>
        </w:rPr>
      </w:pPr>
      <w:r w:rsidRPr="004A596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375FB" w:rsidRPr="004A596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B"/>
    <w:rsid w:val="004A596B"/>
    <w:rsid w:val="00E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1F85F-0EB4-442E-B6D5-DBA004F7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2017-01-18T15:28:00Z</dcterms:created>
  <dcterms:modified xsi:type="dcterms:W3CDTF">2017-01-18T15:28:00Z</dcterms:modified>
</cp:coreProperties>
</file>