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63" w:rsidRDefault="0095227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463" w:rsidRPr="00952275" w:rsidRDefault="00952275">
      <w:pPr>
        <w:spacing w:after="0"/>
        <w:rPr>
          <w:lang w:val="ru-RU"/>
        </w:rPr>
      </w:pPr>
      <w:r w:rsidRPr="00952275">
        <w:rPr>
          <w:b/>
          <w:color w:val="000000"/>
          <w:lang w:val="ru-RU"/>
        </w:rPr>
        <w:t>Об утверждении критериев оценки степени риска и проверочного листа в области применения законодательства Республики Казахстан о языках</w:t>
      </w:r>
    </w:p>
    <w:p w:rsidR="00421463" w:rsidRDefault="00952275">
      <w:pPr>
        <w:spacing w:after="0"/>
      </w:pPr>
      <w:r w:rsidRPr="00952275">
        <w:rPr>
          <w:color w:val="000000"/>
          <w:sz w:val="20"/>
          <w:lang w:val="ru-RU"/>
        </w:rPr>
        <w:t xml:space="preserve">Совместный приказ Министра культуры и спорта Республики Казахстан от 28 января 2016 года № 20 и Министра национальной </w:t>
      </w:r>
      <w:r w:rsidRPr="00952275">
        <w:rPr>
          <w:color w:val="000000"/>
          <w:sz w:val="20"/>
          <w:lang w:val="ru-RU"/>
        </w:rPr>
        <w:t xml:space="preserve">экономики Республики Казахстан от 9 февраля 2016 года № 65. </w:t>
      </w:r>
      <w:r>
        <w:rPr>
          <w:color w:val="000000"/>
          <w:sz w:val="20"/>
        </w:rPr>
        <w:t>Зарегистрирован в Министерстве юстиции Республики Казахстан 1 апреля 2016 года № 13565</w:t>
      </w:r>
    </w:p>
    <w:p w:rsidR="00421463" w:rsidRDefault="00952275">
      <w:pPr>
        <w:spacing w:after="0"/>
      </w:pPr>
      <w:bookmarkStart w:id="0" w:name="z1"/>
      <w:r>
        <w:rPr>
          <w:color w:val="000000"/>
          <w:sz w:val="20"/>
        </w:rPr>
        <w:t xml:space="preserve">      </w:t>
      </w:r>
      <w:r w:rsidRPr="00952275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952275">
        <w:rPr>
          <w:color w:val="000000"/>
          <w:sz w:val="20"/>
          <w:lang w:val="ru-RU"/>
        </w:rPr>
        <w:t>пунктом 3 статьи 141 и пунктом 1 статьи 143 Предпринимательского кодекса Республики Ка</w:t>
      </w:r>
      <w:r w:rsidRPr="00952275">
        <w:rPr>
          <w:color w:val="000000"/>
          <w:sz w:val="20"/>
          <w:lang w:val="ru-RU"/>
        </w:rPr>
        <w:t xml:space="preserve">захстан от 29 октября 2015 года </w:t>
      </w:r>
      <w:r w:rsidRPr="00952275">
        <w:rPr>
          <w:b/>
          <w:color w:val="000000"/>
          <w:sz w:val="20"/>
          <w:lang w:val="ru-RU"/>
        </w:rPr>
        <w:t>ПРИКАЗЫВАЕМ: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bookmarkStart w:id="1" w:name="_GoBack"/>
      <w:bookmarkEnd w:id="1"/>
      <w:r>
        <w:br/>
      </w:r>
      <w:r>
        <w:rPr>
          <w:color w:val="000000"/>
          <w:sz w:val="20"/>
        </w:rPr>
        <w:t>      1) критерии оценки степени риска в области применения законодательства Республики Казахстан о языках согласно приложению 1 к настоящему совместному приказу;</w:t>
      </w:r>
      <w:r>
        <w:br/>
      </w:r>
      <w:r>
        <w:rPr>
          <w:color w:val="000000"/>
          <w:sz w:val="20"/>
        </w:rPr>
        <w:t xml:space="preserve">      2) проверочный лист в </w:t>
      </w:r>
      <w:r>
        <w:rPr>
          <w:color w:val="000000"/>
          <w:sz w:val="20"/>
        </w:rPr>
        <w:t>области применения законодательства Республики Казахстан о языках согласно приложению 2 к настоящему совместному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952275">
        <w:rPr>
          <w:color w:val="000000"/>
          <w:sz w:val="20"/>
          <w:lang w:val="ru-RU"/>
        </w:rPr>
        <w:t>2. Комитету по развитию языков и общественно-политической работы Министерства культуры и спорта Республики Казахстан обеспечить: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1) государственную регистрацию настоящего совместного приказа в Министерстве юстиции Республики Казахстан;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совместного приказа в Министерстве юстиции Республики </w:t>
      </w:r>
      <w:r w:rsidRPr="00952275">
        <w:rPr>
          <w:color w:val="000000"/>
          <w:sz w:val="20"/>
          <w:lang w:val="ru-RU"/>
        </w:rPr>
        <w:t>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в течение пяти рабочих дней со дня п</w:t>
      </w:r>
      <w:r w:rsidRPr="00952275">
        <w:rPr>
          <w:color w:val="000000"/>
          <w:sz w:val="20"/>
          <w:lang w:val="ru-RU"/>
        </w:rPr>
        <w:t>олучения зарегистрированного совместного приказа для внесения в эталонный контрольный банк нормативных правовых актов Республики Казахстан;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3) после официального опубликования размещение настоящего совместного приказа на интернет-ресурсе Министерства</w:t>
      </w:r>
      <w:r w:rsidRPr="00952275">
        <w:rPr>
          <w:color w:val="000000"/>
          <w:sz w:val="20"/>
          <w:lang w:val="ru-RU"/>
        </w:rPr>
        <w:t xml:space="preserve"> культуры и спорта Республики Казахстан;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культуры и спорта Республики Казахстан сведений об </w:t>
      </w:r>
      <w:r w:rsidRPr="00952275">
        <w:rPr>
          <w:color w:val="000000"/>
          <w:sz w:val="20"/>
          <w:lang w:val="ru-RU"/>
        </w:rPr>
        <w:t>исполнении мероприятий, предусмотренных подпунктами 1), 2) и 3) настоящего пункта.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Признать утратившими силу приказы Министра культуры Республики Казахстан и Министра культуры и информации Республики Казахстан согласно приложению 3 к настоящему пр</w:t>
      </w:r>
      <w:r>
        <w:rPr>
          <w:color w:val="000000"/>
          <w:sz w:val="20"/>
        </w:rPr>
        <w:t>иказу.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курирующего вице-министра культуры и спорта Республики Казахстан.</w:t>
      </w:r>
      <w:r>
        <w:br/>
      </w:r>
      <w:r>
        <w:rPr>
          <w:color w:val="000000"/>
          <w:sz w:val="20"/>
        </w:rPr>
        <w:t>      5. Настоящий совместный приказ вводится в действие по истечении десяти календарных дней после дня ег</w:t>
      </w:r>
      <w:r>
        <w:rPr>
          <w:color w:val="000000"/>
          <w:sz w:val="20"/>
        </w:rPr>
        <w:t>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45"/>
        <w:gridCol w:w="4875"/>
      </w:tblGrid>
      <w:tr w:rsidR="00421463" w:rsidRPr="00952275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21463" w:rsidRPr="00952275" w:rsidRDefault="00952275">
            <w:pPr>
              <w:spacing w:after="20"/>
              <w:ind w:left="20"/>
              <w:jc w:val="center"/>
              <w:rPr>
                <w:lang w:val="ru-RU"/>
              </w:rPr>
            </w:pPr>
            <w:r w:rsidRPr="00952275">
              <w:rPr>
                <w:i/>
                <w:color w:val="000000"/>
                <w:sz w:val="20"/>
                <w:lang w:val="ru-RU"/>
              </w:rPr>
              <w:t xml:space="preserve">Министр </w:t>
            </w:r>
            <w:r w:rsidRPr="00952275">
              <w:rPr>
                <w:lang w:val="ru-RU"/>
              </w:rPr>
              <w:br/>
            </w:r>
            <w:r w:rsidRPr="00952275">
              <w:rPr>
                <w:i/>
                <w:color w:val="000000"/>
                <w:sz w:val="20"/>
                <w:lang w:val="ru-RU"/>
              </w:rPr>
              <w:t>культуры и спорта</w:t>
            </w:r>
            <w:r w:rsidRPr="00952275">
              <w:rPr>
                <w:lang w:val="ru-RU"/>
              </w:rPr>
              <w:br/>
            </w:r>
            <w:r w:rsidRPr="00952275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952275">
              <w:rPr>
                <w:lang w:val="ru-RU"/>
              </w:rPr>
              <w:br/>
            </w:r>
            <w:r w:rsidRPr="00952275">
              <w:rPr>
                <w:i/>
                <w:color w:val="000000"/>
                <w:sz w:val="20"/>
                <w:lang w:val="ru-RU"/>
              </w:rPr>
              <w:t>_________ А. Мухамедиулы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Pr="00952275" w:rsidRDefault="00952275">
            <w:pPr>
              <w:spacing w:after="20"/>
              <w:ind w:left="20"/>
              <w:jc w:val="center"/>
              <w:rPr>
                <w:lang w:val="ru-RU"/>
              </w:rPr>
            </w:pPr>
            <w:r w:rsidRPr="00952275">
              <w:rPr>
                <w:i/>
                <w:color w:val="000000"/>
                <w:sz w:val="20"/>
                <w:lang w:val="ru-RU"/>
              </w:rPr>
              <w:t xml:space="preserve">Министр </w:t>
            </w:r>
            <w:r w:rsidRPr="00952275">
              <w:rPr>
                <w:lang w:val="ru-RU"/>
              </w:rPr>
              <w:br/>
            </w:r>
            <w:r w:rsidRPr="00952275">
              <w:rPr>
                <w:i/>
                <w:color w:val="000000"/>
                <w:sz w:val="20"/>
                <w:lang w:val="ru-RU"/>
              </w:rPr>
              <w:t xml:space="preserve">национальной экономики </w:t>
            </w:r>
            <w:r w:rsidRPr="00952275">
              <w:rPr>
                <w:lang w:val="ru-RU"/>
              </w:rPr>
              <w:br/>
            </w:r>
            <w:r w:rsidRPr="00952275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952275">
              <w:rPr>
                <w:lang w:val="ru-RU"/>
              </w:rPr>
              <w:br/>
            </w:r>
            <w:r w:rsidRPr="00952275">
              <w:rPr>
                <w:i/>
                <w:color w:val="000000"/>
                <w:sz w:val="20"/>
                <w:lang w:val="ru-RU"/>
              </w:rPr>
              <w:t>______________ Е. Досаев</w:t>
            </w:r>
          </w:p>
        </w:tc>
      </w:tr>
    </w:tbl>
    <w:p w:rsidR="00421463" w:rsidRPr="00952275" w:rsidRDefault="00952275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952275">
        <w:rPr>
          <w:i/>
          <w:color w:val="000000"/>
          <w:sz w:val="20"/>
          <w:lang w:val="ru-RU"/>
        </w:rPr>
        <w:t xml:space="preserve"> «СОГЛАСОВАН»</w:t>
      </w:r>
      <w:r w:rsidRPr="0095227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52275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95227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52275">
        <w:rPr>
          <w:i/>
          <w:color w:val="000000"/>
          <w:sz w:val="20"/>
          <w:lang w:val="ru-RU"/>
        </w:rPr>
        <w:t xml:space="preserve"> </w:t>
      </w:r>
      <w:r w:rsidRPr="00952275">
        <w:rPr>
          <w:i/>
          <w:color w:val="000000"/>
          <w:sz w:val="20"/>
          <w:lang w:val="ru-RU"/>
        </w:rPr>
        <w:t>статистике и специальным учетам</w:t>
      </w:r>
      <w:r w:rsidRPr="0095227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52275">
        <w:rPr>
          <w:i/>
          <w:color w:val="000000"/>
          <w:sz w:val="20"/>
          <w:lang w:val="ru-RU"/>
        </w:rPr>
        <w:t xml:space="preserve"> Генеральной прокуратуры</w:t>
      </w:r>
      <w:r w:rsidRPr="0095227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52275">
        <w:rPr>
          <w:i/>
          <w:color w:val="000000"/>
          <w:sz w:val="20"/>
          <w:lang w:val="ru-RU"/>
        </w:rPr>
        <w:t xml:space="preserve"> Республики Казахстан</w:t>
      </w:r>
      <w:r w:rsidRPr="0095227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52275">
        <w:rPr>
          <w:i/>
          <w:color w:val="000000"/>
          <w:sz w:val="20"/>
          <w:lang w:val="ru-RU"/>
        </w:rPr>
        <w:t xml:space="preserve"> _____________________ С. Айтпаева</w:t>
      </w:r>
      <w:r w:rsidRPr="0095227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52275">
        <w:rPr>
          <w:i/>
          <w:color w:val="000000"/>
          <w:sz w:val="20"/>
          <w:lang w:val="ru-RU"/>
        </w:rPr>
        <w:t xml:space="preserve"> 24 февраля 2016 года</w:t>
      </w:r>
    </w:p>
    <w:p w:rsidR="00421463" w:rsidRPr="00952275" w:rsidRDefault="00952275">
      <w:pPr>
        <w:spacing w:after="0"/>
        <w:jc w:val="right"/>
        <w:rPr>
          <w:lang w:val="ru-RU"/>
        </w:rPr>
      </w:pPr>
      <w:bookmarkStart w:id="2" w:name="z7"/>
      <w:r w:rsidRPr="00952275">
        <w:rPr>
          <w:color w:val="000000"/>
          <w:sz w:val="20"/>
          <w:lang w:val="ru-RU"/>
        </w:rPr>
        <w:lastRenderedPageBreak/>
        <w:t xml:space="preserve">  Приложение 1</w:t>
      </w:r>
      <w:r>
        <w:rPr>
          <w:color w:val="000000"/>
          <w:sz w:val="20"/>
        </w:rPr>
        <w:t>       </w:t>
      </w:r>
      <w:r w:rsidRPr="00952275">
        <w:rPr>
          <w:color w:val="000000"/>
          <w:sz w:val="20"/>
          <w:lang w:val="ru-RU"/>
        </w:rPr>
        <w:t xml:space="preserve"> 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 xml:space="preserve"> к </w:t>
      </w:r>
      <w:r>
        <w:rPr>
          <w:color w:val="000000"/>
          <w:sz w:val="20"/>
        </w:rPr>
        <w:t>C</w:t>
      </w:r>
      <w:r w:rsidRPr="00952275">
        <w:rPr>
          <w:color w:val="000000"/>
          <w:sz w:val="20"/>
          <w:lang w:val="ru-RU"/>
        </w:rPr>
        <w:t>овместному приказу</w:t>
      </w:r>
      <w:r>
        <w:rPr>
          <w:color w:val="000000"/>
          <w:sz w:val="20"/>
        </w:rPr>
        <w:t>   </w:t>
      </w:r>
      <w:r w:rsidRPr="00952275">
        <w:rPr>
          <w:color w:val="000000"/>
          <w:sz w:val="20"/>
          <w:lang w:val="ru-RU"/>
        </w:rPr>
        <w:t xml:space="preserve"> 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 xml:space="preserve"> Министра культуры и спорта</w:t>
      </w:r>
      <w:r>
        <w:rPr>
          <w:color w:val="000000"/>
          <w:sz w:val="20"/>
        </w:rPr>
        <w:t> </w:t>
      </w:r>
      <w:r w:rsidRPr="00952275">
        <w:rPr>
          <w:color w:val="000000"/>
          <w:sz w:val="20"/>
          <w:lang w:val="ru-RU"/>
        </w:rPr>
        <w:t xml:space="preserve"> 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 xml:space="preserve"> Республики Казахста</w:t>
      </w:r>
      <w:r w:rsidRPr="00952275">
        <w:rPr>
          <w:color w:val="000000"/>
          <w:sz w:val="20"/>
          <w:lang w:val="ru-RU"/>
        </w:rPr>
        <w:t>н</w:t>
      </w:r>
      <w:r>
        <w:rPr>
          <w:color w:val="000000"/>
          <w:sz w:val="20"/>
        </w:rPr>
        <w:t>   </w:t>
      </w:r>
      <w:r w:rsidRPr="00952275">
        <w:rPr>
          <w:color w:val="000000"/>
          <w:sz w:val="20"/>
          <w:lang w:val="ru-RU"/>
        </w:rPr>
        <w:t xml:space="preserve"> 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 xml:space="preserve"> от 28 января 2016 года № 20</w:t>
      </w:r>
      <w:r>
        <w:rPr>
          <w:color w:val="000000"/>
          <w:sz w:val="20"/>
        </w:rPr>
        <w:t> </w:t>
      </w:r>
      <w:r w:rsidRPr="00952275">
        <w:rPr>
          <w:color w:val="000000"/>
          <w:sz w:val="20"/>
          <w:lang w:val="ru-RU"/>
        </w:rPr>
        <w:t xml:space="preserve"> 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</w:t>
      </w:r>
      <w:r w:rsidRPr="00952275">
        <w:rPr>
          <w:color w:val="000000"/>
          <w:sz w:val="20"/>
          <w:lang w:val="ru-RU"/>
        </w:rPr>
        <w:t xml:space="preserve"> 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>экономики Республики Казахстан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>от 9 февраля 2016 года № 65</w:t>
      </w:r>
    </w:p>
    <w:p w:rsidR="00421463" w:rsidRPr="00952275" w:rsidRDefault="00952275">
      <w:pPr>
        <w:spacing w:after="0"/>
        <w:rPr>
          <w:lang w:val="ru-RU"/>
        </w:rPr>
      </w:pPr>
      <w:bookmarkStart w:id="3" w:name="z8"/>
      <w:bookmarkEnd w:id="2"/>
      <w:r w:rsidRPr="00952275">
        <w:rPr>
          <w:b/>
          <w:color w:val="000000"/>
          <w:lang w:val="ru-RU"/>
        </w:rPr>
        <w:t xml:space="preserve">   Критерии оценки степени риска в области применения</w:t>
      </w:r>
      <w:r w:rsidRPr="00952275">
        <w:rPr>
          <w:lang w:val="ru-RU"/>
        </w:rPr>
        <w:br/>
      </w:r>
      <w:r w:rsidRPr="00952275">
        <w:rPr>
          <w:b/>
          <w:color w:val="000000"/>
          <w:lang w:val="ru-RU"/>
        </w:rPr>
        <w:t>законодательства Республики Казахстан о языках</w:t>
      </w:r>
    </w:p>
    <w:p w:rsidR="00421463" w:rsidRPr="00952275" w:rsidRDefault="00952275">
      <w:pPr>
        <w:spacing w:after="0"/>
        <w:rPr>
          <w:lang w:val="ru-RU"/>
        </w:rPr>
      </w:pPr>
      <w:bookmarkStart w:id="4" w:name="z9"/>
      <w:bookmarkEnd w:id="3"/>
      <w:r w:rsidRPr="00952275">
        <w:rPr>
          <w:b/>
          <w:color w:val="000000"/>
          <w:lang w:val="ru-RU"/>
        </w:rPr>
        <w:t xml:space="preserve">   1. Общие положения</w:t>
      </w:r>
    </w:p>
    <w:p w:rsidR="00421463" w:rsidRDefault="00952275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1. </w:t>
      </w:r>
      <w:r w:rsidRPr="00952275">
        <w:rPr>
          <w:color w:val="000000"/>
          <w:sz w:val="20"/>
          <w:lang w:val="ru-RU"/>
        </w:rPr>
        <w:t>Настоящие Критерии оценки степени риска в области применения законодательства Республики Казахстан о языках (далее – Критерии) разработаны в соответствии с</w:t>
      </w:r>
      <w:r>
        <w:rPr>
          <w:color w:val="000000"/>
          <w:sz w:val="20"/>
        </w:rPr>
        <w:t> </w:t>
      </w:r>
      <w:r w:rsidRPr="00952275">
        <w:rPr>
          <w:color w:val="000000"/>
          <w:sz w:val="20"/>
          <w:lang w:val="ru-RU"/>
        </w:rPr>
        <w:t xml:space="preserve">Предпринимательским кодексом Республики Казахстан от 29 октября 2015 года для отнесения проверяемых </w:t>
      </w:r>
      <w:r w:rsidRPr="00952275">
        <w:rPr>
          <w:color w:val="000000"/>
          <w:sz w:val="20"/>
          <w:lang w:val="ru-RU"/>
        </w:rPr>
        <w:t>субъектов к степеням риска и отбора проверяемых субъектов при проведении выборочных проверок.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1) риск – вероятность причинения вреда в результате деятельности проверяемого субъекта по соб</w:t>
      </w:r>
      <w:r w:rsidRPr="00952275">
        <w:rPr>
          <w:color w:val="000000"/>
          <w:sz w:val="20"/>
          <w:lang w:val="ru-RU"/>
        </w:rPr>
        <w:t>людению требовании законодательства о языках и Государственной программы развития и функционирования языков в Республике Казахстан на 2011-2020 годы, интересам языковой политики государства, ограничение право выбора языка физических и юридических лиц;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952275">
        <w:rPr>
          <w:color w:val="000000"/>
          <w:sz w:val="20"/>
          <w:lang w:val="ru-RU"/>
        </w:rPr>
        <w:t xml:space="preserve"> 2) система оценки рисков – комплекс мероприятий, проводимый органом контроля и надзора, с целью назначения проверок;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3) субъективные критерии оценки степени риска (далее – субъективные критерии) – критерии оценки степени риска, используемые для от</w:t>
      </w:r>
      <w:r w:rsidRPr="00952275">
        <w:rPr>
          <w:color w:val="000000"/>
          <w:sz w:val="20"/>
          <w:lang w:val="ru-RU"/>
        </w:rPr>
        <w:t xml:space="preserve">бора проверяемых субъектов в зависимости от результатов деятельности конкретного проверяемого субъекта; 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4) субъекты контроля – государственные учреждения, государственные органы;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5) грубое нарушение – нарушение требований, установленных в зако</w:t>
      </w:r>
      <w:r w:rsidRPr="00952275">
        <w:rPr>
          <w:color w:val="000000"/>
          <w:sz w:val="20"/>
          <w:lang w:val="ru-RU"/>
        </w:rPr>
        <w:t>нодательных и иных нормативных правовых актах, в части не ведения учетно-статистической, финансовой и технической документации на государственном и на русском языках, не употребления государственного языка или языка обращения при ведении делопроизводства п</w:t>
      </w:r>
      <w:r w:rsidRPr="00952275">
        <w:rPr>
          <w:color w:val="000000"/>
          <w:sz w:val="20"/>
          <w:lang w:val="ru-RU"/>
        </w:rPr>
        <w:t>о обращениям физических и юридических лиц, не применения государственного языка при оформлении исходящей корреспонденции в государственных органах, не употребления государственного языка в делопроизводстве, не соблюдения государственными органами требовани</w:t>
      </w:r>
      <w:r w:rsidRPr="00952275">
        <w:rPr>
          <w:color w:val="000000"/>
          <w:sz w:val="20"/>
          <w:lang w:val="ru-RU"/>
        </w:rPr>
        <w:t>й, предусмотренных законодательством о языках, по разработке и принятию актов государственных органов, не соблюдения требований, предъявляемых к языку, при составлении конкурсной или аукционной документации, не достижения результатов по обеспечению доли го</w:t>
      </w:r>
      <w:r w:rsidRPr="00952275">
        <w:rPr>
          <w:color w:val="000000"/>
          <w:sz w:val="20"/>
          <w:lang w:val="ru-RU"/>
        </w:rPr>
        <w:t>сударственного социального заказа, направленного на популяризацию государственного языка (ежегодно не менее 10 %);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6) значительное нарушение – нарушение требований, установленных в законодательных и иных нормативных правовых актах, в части не приняти</w:t>
      </w:r>
      <w:r w:rsidRPr="00952275">
        <w:rPr>
          <w:color w:val="000000"/>
          <w:sz w:val="20"/>
          <w:lang w:val="ru-RU"/>
        </w:rPr>
        <w:t>я государственными органами мер по созданию организационных, материально-технических условий для свободного и бесплатного овладения государственным языком, не соблюдения требований, предъявляемых к языку, при совершении сделок в письменной форме, не соблюд</w:t>
      </w:r>
      <w:r w:rsidRPr="00952275">
        <w:rPr>
          <w:color w:val="000000"/>
          <w:sz w:val="20"/>
          <w:lang w:val="ru-RU"/>
        </w:rPr>
        <w:t>ения требований, предъявляемых к языку, при наполнении материалами государственных информационных систем;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7) незначительное нарушение – нарушение требований, установленных в</w:t>
      </w:r>
      <w:r>
        <w:rPr>
          <w:color w:val="000000"/>
          <w:sz w:val="20"/>
        </w:rPr>
        <w:t> </w:t>
      </w:r>
      <w:r w:rsidRPr="00952275">
        <w:rPr>
          <w:color w:val="000000"/>
          <w:sz w:val="20"/>
          <w:lang w:val="ru-RU"/>
        </w:rPr>
        <w:t>Законе Республики Казахстан «О языках в Республики Казахстан», в части не со</w:t>
      </w:r>
      <w:r w:rsidRPr="00952275">
        <w:rPr>
          <w:color w:val="000000"/>
          <w:sz w:val="20"/>
          <w:lang w:val="ru-RU"/>
        </w:rPr>
        <w:t>блюдения требований, предъявляемых к языку в текстах печатей и штампов государственных органов и государственных учреждений, не соблюдения требований, предъявляемых к языку пр</w:t>
      </w:r>
      <w:r>
        <w:rPr>
          <w:color w:val="000000"/>
          <w:sz w:val="20"/>
        </w:rPr>
        <w:t>и размещении визуальной информации на государственном языке.</w:t>
      </w:r>
      <w:r>
        <w:br/>
      </w:r>
      <w:r>
        <w:rPr>
          <w:color w:val="000000"/>
          <w:sz w:val="20"/>
        </w:rPr>
        <w:t xml:space="preserve">      3. Выборочные </w:t>
      </w:r>
      <w:r>
        <w:rPr>
          <w:color w:val="000000"/>
          <w:sz w:val="20"/>
        </w:rPr>
        <w:t>проверки применяются в отношении субъектов контроля, отнесенных к высокой степени риска.</w:t>
      </w:r>
      <w:r>
        <w:br/>
      </w:r>
      <w:r>
        <w:rPr>
          <w:color w:val="000000"/>
          <w:sz w:val="20"/>
        </w:rPr>
        <w:t>      4. Кратность проведения выборочной проверки не может быть чаще одного раза в год.</w:t>
      </w:r>
      <w:r>
        <w:br/>
      </w:r>
      <w:r>
        <w:rPr>
          <w:color w:val="000000"/>
          <w:sz w:val="20"/>
        </w:rPr>
        <w:t>      5. Выборочные проверки проводятся на основании списков выборочных проверо</w:t>
      </w:r>
      <w:r>
        <w:rPr>
          <w:color w:val="000000"/>
          <w:sz w:val="20"/>
        </w:rPr>
        <w:t>к, формируемых на полугодие по результатам проводимого анализа и оценки, утвержденных первым руководителем регулирующего государственного органа и направляются в уполномоченный орган по правовой статистике и специальным учетам в срок не позднее, чем за пят</w:t>
      </w:r>
      <w:r>
        <w:rPr>
          <w:color w:val="000000"/>
          <w:sz w:val="20"/>
        </w:rPr>
        <w:t>надцать календарных дней до начала соответствующего отчетного периода.</w:t>
      </w:r>
      <w:r>
        <w:br/>
      </w:r>
      <w:r>
        <w:rPr>
          <w:color w:val="000000"/>
          <w:sz w:val="20"/>
        </w:rPr>
        <w:t>      6. Критерии оценки степени риска в сфере деятельности государственного учреждения и государственного органа по государственному контролю в области применения законодательства Респ</w:t>
      </w:r>
      <w:r>
        <w:rPr>
          <w:color w:val="000000"/>
          <w:sz w:val="20"/>
        </w:rPr>
        <w:t>ублики Казахстан о языках для выборочных проверок формируются посредством субъективных критериев.</w:t>
      </w:r>
      <w:r>
        <w:br/>
      </w:r>
      <w:r>
        <w:rPr>
          <w:color w:val="000000"/>
          <w:sz w:val="20"/>
        </w:rPr>
        <w:t>      7.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приоритетности субъектов контроля с наибольшим показателем степени риска по субъективным к</w:t>
      </w:r>
      <w:r>
        <w:rPr>
          <w:color w:val="000000"/>
          <w:sz w:val="20"/>
        </w:rPr>
        <w:t>ритериям;</w:t>
      </w:r>
      <w:r>
        <w:br/>
      </w:r>
      <w:r>
        <w:rPr>
          <w:color w:val="000000"/>
          <w:sz w:val="20"/>
        </w:rPr>
        <w:t>      2) наибольшего непроверяемого периода;</w:t>
      </w:r>
      <w:r>
        <w:br/>
      </w:r>
      <w:r>
        <w:rPr>
          <w:color w:val="000000"/>
          <w:sz w:val="20"/>
        </w:rPr>
        <w:t xml:space="preserve">       3) нагрузки на должностных лиц государственного органа, осуществляющего проверку. </w:t>
      </w:r>
    </w:p>
    <w:p w:rsidR="00421463" w:rsidRPr="00952275" w:rsidRDefault="00952275">
      <w:pPr>
        <w:spacing w:after="0"/>
        <w:rPr>
          <w:lang w:val="ru-RU"/>
        </w:rPr>
      </w:pPr>
      <w:bookmarkStart w:id="6" w:name="z24"/>
      <w:bookmarkEnd w:id="5"/>
      <w:r>
        <w:rPr>
          <w:b/>
          <w:color w:val="000000"/>
        </w:rPr>
        <w:t xml:space="preserve">   </w:t>
      </w:r>
      <w:r w:rsidRPr="00952275">
        <w:rPr>
          <w:b/>
          <w:color w:val="000000"/>
          <w:lang w:val="ru-RU"/>
        </w:rPr>
        <w:t>2. Субъективные критерии</w:t>
      </w:r>
    </w:p>
    <w:p w:rsidR="00421463" w:rsidRPr="00952275" w:rsidRDefault="00952275">
      <w:pPr>
        <w:spacing w:after="0"/>
        <w:rPr>
          <w:lang w:val="ru-RU"/>
        </w:rPr>
      </w:pPr>
      <w:bookmarkStart w:id="7" w:name="z25"/>
      <w:bookmarkEnd w:id="6"/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8. Определение субъективных критериев осуществляется с применением следующих </w:t>
      </w:r>
      <w:r w:rsidRPr="00952275">
        <w:rPr>
          <w:color w:val="000000"/>
          <w:sz w:val="20"/>
          <w:lang w:val="ru-RU"/>
        </w:rPr>
        <w:t>этапов: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1) сбор информации;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2) анализ информации и оценка рисков.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9. Сбор информации необходим для выявления субъектов контроля, нарушающих требования законодательства Республики Казахстан о языках. </w:t>
      </w:r>
      <w:r>
        <w:br/>
      </w:r>
      <w:r>
        <w:rPr>
          <w:color w:val="000000"/>
          <w:sz w:val="20"/>
        </w:rPr>
        <w:t xml:space="preserve">      </w:t>
      </w:r>
      <w:r w:rsidRPr="00952275">
        <w:rPr>
          <w:color w:val="000000"/>
          <w:sz w:val="20"/>
          <w:lang w:val="ru-RU"/>
        </w:rPr>
        <w:t>Для оценки степени рисков по су</w:t>
      </w:r>
      <w:r w:rsidRPr="00952275">
        <w:rPr>
          <w:color w:val="000000"/>
          <w:sz w:val="20"/>
          <w:lang w:val="ru-RU"/>
        </w:rPr>
        <w:t>бъективным критериям используются следующие источники информации: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1) результаты предыдущих проверок;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2) результаты мониторинга отчетности и сведений, представляемых субъектами контроля, в том числе посредством собранных материалов государственн</w:t>
      </w:r>
      <w:r w:rsidRPr="00952275">
        <w:rPr>
          <w:color w:val="000000"/>
          <w:sz w:val="20"/>
          <w:lang w:val="ru-RU"/>
        </w:rPr>
        <w:t>ых органов;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3) анализ официальных интернет-ресурсов государственных органов.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10. Оценка степени риска субъектов контроля и отнесение их к грубой, значительной и незначительной группе степени риска осуществляется в соответствии с приложением к н</w:t>
      </w:r>
      <w:r>
        <w:rPr>
          <w:color w:val="000000"/>
          <w:sz w:val="20"/>
        </w:rPr>
        <w:t>астоящим Критериям.</w:t>
      </w:r>
      <w:r>
        <w:br/>
      </w:r>
      <w:r>
        <w:rPr>
          <w:color w:val="000000"/>
          <w:sz w:val="20"/>
        </w:rPr>
        <w:t>      11. Критерии оценки степени риска делятся на 3 степени тяжести нарушений: грубые, значительные, незначительные.</w:t>
      </w:r>
      <w:r>
        <w:br/>
      </w:r>
      <w:r>
        <w:rPr>
          <w:color w:val="000000"/>
          <w:sz w:val="20"/>
        </w:rPr>
        <w:t>      При расчете показателя степени риска определяется удельный вес не выполненных индикаторов.</w:t>
      </w:r>
      <w:r>
        <w:br/>
      </w:r>
      <w:r>
        <w:rPr>
          <w:color w:val="000000"/>
          <w:sz w:val="20"/>
        </w:rPr>
        <w:t>      При выявлении о</w:t>
      </w:r>
      <w:r>
        <w:rPr>
          <w:color w:val="000000"/>
          <w:sz w:val="20"/>
        </w:rPr>
        <w:t>дного грубого нарушения, проверяемому субъекту приравнивается показатель степени риска 100.</w:t>
      </w:r>
      <w:r>
        <w:br/>
      </w:r>
      <w:r>
        <w:rPr>
          <w:color w:val="000000"/>
          <w:sz w:val="20"/>
        </w:rPr>
        <w:t xml:space="preserve"> 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</w:t>
      </w:r>
      <w:r>
        <w:rPr>
          <w:color w:val="000000"/>
          <w:sz w:val="20"/>
        </w:rPr>
        <w:t xml:space="preserve">ачительной степени. </w:t>
      </w:r>
      <w:r>
        <w:br/>
      </w:r>
      <w:r>
        <w:rPr>
          <w:color w:val="000000"/>
          <w:sz w:val="20"/>
        </w:rPr>
        <w:t xml:space="preserve">      </w:t>
      </w:r>
      <w:r w:rsidRPr="00952275">
        <w:rPr>
          <w:color w:val="000000"/>
          <w:sz w:val="20"/>
          <w:lang w:val="ru-RU"/>
        </w:rPr>
        <w:t>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p w:rsidR="00421463" w:rsidRPr="00952275" w:rsidRDefault="00952275">
      <w:pPr>
        <w:spacing w:after="0"/>
        <w:rPr>
          <w:lang w:val="ru-RU"/>
        </w:rPr>
      </w:pPr>
      <w:bookmarkStart w:id="8" w:name="z29"/>
      <w:bookmarkEnd w:id="7"/>
      <w:r>
        <w:rPr>
          <w:color w:val="000000"/>
          <w:sz w:val="20"/>
        </w:rPr>
        <w:t>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з</w:t>
      </w:r>
      <w:r w:rsidRPr="00952275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2</w:t>
      </w:r>
      <w:r w:rsidRPr="00952275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1</w:t>
      </w:r>
      <w:r w:rsidRPr="00952275">
        <w:rPr>
          <w:color w:val="000000"/>
          <w:sz w:val="20"/>
          <w:lang w:val="ru-RU"/>
        </w:rPr>
        <w:t>) х 0,7,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где: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з</w:t>
      </w:r>
      <w:r w:rsidRPr="00952275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1</w:t>
      </w:r>
      <w:r w:rsidRPr="00952275">
        <w:rPr>
          <w:color w:val="000000"/>
          <w:sz w:val="20"/>
          <w:lang w:val="ru-RU"/>
        </w:rPr>
        <w:t xml:space="preserve"> – общее количество значительных нарушений;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2</w:t>
      </w:r>
      <w:r w:rsidRPr="00952275">
        <w:rPr>
          <w:color w:val="000000"/>
          <w:sz w:val="20"/>
          <w:lang w:val="ru-RU"/>
        </w:rPr>
        <w:t xml:space="preserve"> - количество выявленных значительных нарушений;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При определении показателя незначительных нарушений применяется коэффициент 0,3 и данный показатель рассчитывается по следующей формуле:</w:t>
      </w:r>
      <w:r w:rsidRPr="00952275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н</w:t>
      </w:r>
      <w:r w:rsidRPr="00952275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2</w:t>
      </w:r>
      <w:r w:rsidRPr="00952275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1</w:t>
      </w:r>
      <w:r w:rsidRPr="00952275">
        <w:rPr>
          <w:color w:val="000000"/>
          <w:sz w:val="20"/>
          <w:lang w:val="ru-RU"/>
        </w:rPr>
        <w:t>) х 0,3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где: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н</w:t>
      </w:r>
      <w:r w:rsidRPr="00952275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1</w:t>
      </w:r>
      <w:r w:rsidRPr="00952275">
        <w:rPr>
          <w:color w:val="000000"/>
          <w:sz w:val="20"/>
          <w:lang w:val="ru-RU"/>
        </w:rPr>
        <w:t xml:space="preserve"> – общее количество незначительных нарушений;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2</w:t>
      </w:r>
      <w:r w:rsidRPr="00952275">
        <w:rPr>
          <w:color w:val="000000"/>
          <w:sz w:val="20"/>
          <w:lang w:val="ru-RU"/>
        </w:rPr>
        <w:t xml:space="preserve"> - количество выявленных незначительных нарушений; 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sz w:val="20"/>
          <w:lang w:val="ru-RU"/>
        </w:rPr>
        <w:t>) рассчи</w:t>
      </w:r>
      <w:r w:rsidRPr="00952275">
        <w:rPr>
          <w:color w:val="000000"/>
          <w:sz w:val="20"/>
          <w:lang w:val="ru-RU"/>
        </w:rPr>
        <w:t>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sz w:val="20"/>
          <w:lang w:val="ru-RU"/>
        </w:rPr>
        <w:t xml:space="preserve"> = 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з</w:t>
      </w:r>
      <w:r w:rsidRPr="00952275">
        <w:rPr>
          <w:color w:val="000000"/>
          <w:sz w:val="20"/>
          <w:lang w:val="ru-RU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н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где: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sz w:val="20"/>
          <w:lang w:val="ru-RU"/>
        </w:rPr>
        <w:t xml:space="preserve"> - общий показатель степени риска;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з</w:t>
      </w:r>
      <w:r w:rsidRPr="00952275">
        <w:rPr>
          <w:color w:val="000000"/>
          <w:sz w:val="20"/>
          <w:lang w:val="ru-RU"/>
        </w:rPr>
        <w:t xml:space="preserve"> - показатель значительных нарушений; 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</w:t>
      </w:r>
      <w:r w:rsidRPr="0095227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15900" cy="342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275">
        <w:rPr>
          <w:color w:val="000000"/>
          <w:vertAlign w:val="superscript"/>
          <w:lang w:val="ru-RU"/>
        </w:rPr>
        <w:t>Р</w:t>
      </w:r>
      <w:r w:rsidRPr="00952275">
        <w:rPr>
          <w:color w:val="000000"/>
          <w:vertAlign w:val="subscript"/>
          <w:lang w:val="ru-RU"/>
        </w:rPr>
        <w:t>н</w:t>
      </w:r>
      <w:r w:rsidRPr="00952275">
        <w:rPr>
          <w:color w:val="000000"/>
          <w:sz w:val="20"/>
          <w:lang w:val="ru-RU"/>
        </w:rPr>
        <w:t xml:space="preserve"> - показатель незначительных нарушений.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12. По показателям степени риска проверяемый субъект относится к: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1) высокой степени риска – при показателе степени риска от 60 до 100 и в отношении него пр</w:t>
      </w:r>
      <w:r w:rsidRPr="00952275">
        <w:rPr>
          <w:color w:val="000000"/>
          <w:sz w:val="20"/>
          <w:lang w:val="ru-RU"/>
        </w:rPr>
        <w:t>оводится выборочная проверка;</w:t>
      </w:r>
      <w:r w:rsidRPr="00952275">
        <w:rPr>
          <w:lang w:val="ru-RU"/>
        </w:rPr>
        <w:br/>
      </w:r>
      <w:r>
        <w:rPr>
          <w:color w:val="000000"/>
          <w:sz w:val="20"/>
        </w:rPr>
        <w:t>     </w:t>
      </w:r>
      <w:r w:rsidRPr="00952275">
        <w:rPr>
          <w:color w:val="000000"/>
          <w:sz w:val="20"/>
          <w:lang w:val="ru-RU"/>
        </w:rPr>
        <w:t xml:space="preserve"> 2) не высокой степени риска – при показателе степени риска от 0 до 60 и в отношении него проводятся только внеплановые проверки и иные формы контроля.</w:t>
      </w:r>
    </w:p>
    <w:p w:rsidR="00421463" w:rsidRPr="00952275" w:rsidRDefault="00952275">
      <w:pPr>
        <w:spacing w:after="0"/>
        <w:jc w:val="right"/>
        <w:rPr>
          <w:lang w:val="ru-RU"/>
        </w:rPr>
      </w:pPr>
      <w:bookmarkStart w:id="9" w:name="z30"/>
      <w:bookmarkEnd w:id="8"/>
      <w:r w:rsidRPr="00952275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</w:t>
      </w:r>
      <w:r w:rsidRPr="00952275">
        <w:rPr>
          <w:color w:val="000000"/>
          <w:sz w:val="20"/>
          <w:lang w:val="ru-RU"/>
        </w:rPr>
        <w:t xml:space="preserve"> 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 xml:space="preserve"> к критериям оценки степени риска</w:t>
      </w:r>
      <w:r>
        <w:rPr>
          <w:color w:val="000000"/>
          <w:sz w:val="20"/>
        </w:rPr>
        <w:t>  </w:t>
      </w:r>
      <w:r w:rsidRPr="00952275">
        <w:rPr>
          <w:color w:val="000000"/>
          <w:sz w:val="20"/>
          <w:lang w:val="ru-RU"/>
        </w:rPr>
        <w:t xml:space="preserve"> 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 xml:space="preserve"> в об</w:t>
      </w:r>
      <w:r w:rsidRPr="00952275">
        <w:rPr>
          <w:color w:val="000000"/>
          <w:sz w:val="20"/>
          <w:lang w:val="ru-RU"/>
        </w:rPr>
        <w:t xml:space="preserve">ласти применения законодательства </w:t>
      </w:r>
      <w:r w:rsidRPr="00952275">
        <w:rPr>
          <w:lang w:val="ru-RU"/>
        </w:rPr>
        <w:br/>
      </w:r>
      <w:r w:rsidRPr="00952275">
        <w:rPr>
          <w:color w:val="000000"/>
          <w:sz w:val="20"/>
          <w:lang w:val="ru-RU"/>
        </w:rPr>
        <w:t xml:space="preserve"> Республики Казахстан о языках</w:t>
      </w:r>
      <w:r>
        <w:rPr>
          <w:color w:val="000000"/>
          <w:sz w:val="20"/>
        </w:rPr>
        <w:t>   </w:t>
      </w:r>
      <w:r w:rsidRPr="00952275">
        <w:rPr>
          <w:color w:val="000000"/>
          <w:sz w:val="20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6"/>
        <w:gridCol w:w="6436"/>
        <w:gridCol w:w="2700"/>
      </w:tblGrid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Критерии 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b/>
                <w:color w:val="000000"/>
                <w:sz w:val="20"/>
              </w:rPr>
              <w:t>нарушений</w:t>
            </w:r>
          </w:p>
        </w:tc>
      </w:tr>
      <w:tr w:rsidR="00421463" w:rsidRPr="00952275">
        <w:trPr>
          <w:trHeight w:val="3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Pr="00952275" w:rsidRDefault="00952275">
            <w:pPr>
              <w:spacing w:after="20"/>
              <w:ind w:left="20"/>
              <w:jc w:val="center"/>
              <w:rPr>
                <w:lang w:val="ru-RU"/>
              </w:rPr>
            </w:pPr>
            <w:r w:rsidRPr="00952275">
              <w:rPr>
                <w:b/>
                <w:color w:val="000000"/>
                <w:sz w:val="20"/>
                <w:lang w:val="ru-RU"/>
              </w:rPr>
              <w:t>1. По информационному источнику «результаты предыдущих проверок»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Pr="00952275" w:rsidRDefault="00952275">
            <w:pPr>
              <w:spacing w:after="20"/>
              <w:ind w:left="20"/>
              <w:rPr>
                <w:lang w:val="ru-RU"/>
              </w:rPr>
            </w:pPr>
            <w:r w:rsidRPr="00952275">
              <w:rPr>
                <w:color w:val="000000"/>
                <w:sz w:val="20"/>
                <w:lang w:val="ru-RU"/>
              </w:rPr>
              <w:t xml:space="preserve">Не ведение учетно-статистической, финансовой и технической документации на </w:t>
            </w:r>
            <w:r w:rsidRPr="00952275">
              <w:rPr>
                <w:color w:val="000000"/>
                <w:sz w:val="20"/>
                <w:lang w:val="ru-RU"/>
              </w:rPr>
              <w:t>государственном и на русском языках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Pr="00952275" w:rsidRDefault="00952275">
            <w:pPr>
              <w:spacing w:after="20"/>
              <w:ind w:left="20"/>
              <w:rPr>
                <w:lang w:val="ru-RU"/>
              </w:rPr>
            </w:pPr>
            <w:r w:rsidRPr="00952275">
              <w:rPr>
                <w:color w:val="000000"/>
                <w:sz w:val="20"/>
                <w:lang w:val="ru-RU"/>
              </w:rPr>
              <w:t>Не употребление государственного языка или языка обращения при ведении делопроизводства по обращениям физических и юридических лиц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Pr="00952275" w:rsidRDefault="00952275">
            <w:pPr>
              <w:spacing w:after="20"/>
              <w:ind w:left="20"/>
              <w:rPr>
                <w:lang w:val="ru-RU"/>
              </w:rPr>
            </w:pPr>
            <w:r w:rsidRPr="00952275">
              <w:rPr>
                <w:color w:val="000000"/>
                <w:sz w:val="20"/>
                <w:lang w:val="ru-RU"/>
              </w:rPr>
              <w:t>Не применение государственного языка при оформлении исходящей корресп</w:t>
            </w:r>
            <w:r w:rsidRPr="00952275">
              <w:rPr>
                <w:color w:val="000000"/>
                <w:sz w:val="20"/>
                <w:lang w:val="ru-RU"/>
              </w:rPr>
              <w:t>онденции в государственных органах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употребление государственного языка в делопроизводстве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соблюдение государственными органами требований, предусмотренных законодательством о языках, по разработке и принятию актов государственных </w:t>
            </w:r>
            <w:r>
              <w:rPr>
                <w:color w:val="000000"/>
                <w:sz w:val="20"/>
              </w:rPr>
              <w:t>органов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соблюдение требований, предъявляемых к языку, при составлении конкурсной или аукционной документации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достижение результатов по обеспечению доли государственного социального заказа, направленного на популяризацию </w:t>
            </w:r>
            <w:r>
              <w:rPr>
                <w:color w:val="000000"/>
                <w:sz w:val="20"/>
              </w:rPr>
              <w:t>государственного языка (ежегодно не менее 10 %)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принятие государственными органами мер по созданию организационных, материально-технических условий для свободного и бесплатного овладения государственным языком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соблюдение </w:t>
            </w:r>
            <w:r>
              <w:rPr>
                <w:color w:val="000000"/>
                <w:sz w:val="20"/>
              </w:rPr>
              <w:t>требований, предъявляемых к языку, при совершении сделок в письменной форме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соблюдение требований, предъявляемых к языку, при наполнении материалами государственных информационных систем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соблюдение требований, предъя</w:t>
            </w:r>
            <w:r>
              <w:rPr>
                <w:color w:val="000000"/>
                <w:sz w:val="20"/>
              </w:rPr>
              <w:t>вляемых к языку, в текстах печатей и штампов государственных органов и государственных учреждений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2. По информационному источнику «результаты мониторинга, отчетности и сведений, представляемого субъектами контроля, в том числе посредством собранных материалов государственных органов» 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ведение учетно-статистической, финансовой и технической </w:t>
            </w:r>
            <w:r>
              <w:rPr>
                <w:color w:val="000000"/>
                <w:sz w:val="20"/>
              </w:rPr>
              <w:t>документации на государственном и на русском языках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употребление государственного языка или языка обращения при ведении делопроизводства по обращениям физических и юридических лиц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достижение результатов по обеспечению доли государ</w:t>
            </w:r>
            <w:r>
              <w:rPr>
                <w:color w:val="000000"/>
                <w:sz w:val="20"/>
              </w:rPr>
              <w:t>ственного социального заказа, направленного на популяризацию государственного языка (ежегодно не менее 10 %)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применение государственного языка при оформлении исходящей корреспонденции в государственных органах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употребление </w:t>
            </w:r>
            <w:r>
              <w:rPr>
                <w:color w:val="000000"/>
                <w:sz w:val="20"/>
              </w:rPr>
              <w:t>государственного языка в делопроизводстве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принятие государственными органами мер по созданию организационных, материально-технических условий для свободного и бесплатного овладения государственным языком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3. По информационному ист</w:t>
            </w:r>
            <w:r>
              <w:rPr>
                <w:b/>
                <w:color w:val="000000"/>
                <w:sz w:val="20"/>
              </w:rPr>
              <w:t xml:space="preserve">очнику «анализ официальных интернет-ресурсов государственных органов и учреждений» 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соблюдение требований, предъявляемых к языку, при наполнении материалами государственных информационных систем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4. По ответственности за нарушение </w:t>
            </w:r>
            <w:r>
              <w:rPr>
                <w:b/>
                <w:color w:val="000000"/>
                <w:sz w:val="20"/>
              </w:rPr>
              <w:t>законодательства Республики Казахстан о языках</w:t>
            </w:r>
          </w:p>
        </w:tc>
      </w:tr>
      <w:tr w:rsidR="00421463">
        <w:trPr>
          <w:trHeight w:val="76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Отказ должностного лица в принятии документов, обращений физических и юридических лиц, а также не рассмотрение их по существу, мотивированные незнанием языка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21463">
        <w:trPr>
          <w:trHeight w:val="33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Ограничение прав физических лиц в </w:t>
            </w:r>
            <w:r>
              <w:rPr>
                <w:color w:val="000000"/>
                <w:sz w:val="20"/>
              </w:rPr>
              <w:t>выборе языка, дискриминация по языковым признакам</w:t>
            </w:r>
          </w:p>
        </w:tc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</w:tbl>
    <w:p w:rsidR="00421463" w:rsidRDefault="00952275">
      <w:pPr>
        <w:spacing w:after="0"/>
        <w:jc w:val="right"/>
      </w:pPr>
      <w:bookmarkStart w:id="10" w:name="z31"/>
      <w:r>
        <w:rPr>
          <w:color w:val="000000"/>
          <w:sz w:val="20"/>
        </w:rPr>
        <w:t xml:space="preserve">  Приложение 2        </w:t>
      </w:r>
      <w:r>
        <w:br/>
      </w:r>
      <w:r>
        <w:rPr>
          <w:color w:val="000000"/>
          <w:sz w:val="20"/>
        </w:rPr>
        <w:t xml:space="preserve"> к совместному приказу    </w:t>
      </w:r>
      <w:r>
        <w:br/>
      </w:r>
      <w:r>
        <w:rPr>
          <w:color w:val="000000"/>
          <w:sz w:val="20"/>
        </w:rPr>
        <w:t xml:space="preserve"> Министра культуры и спорта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28 января 2016 года № 20  </w:t>
      </w:r>
      <w:r>
        <w:br/>
      </w:r>
      <w:r>
        <w:rPr>
          <w:color w:val="000000"/>
          <w:sz w:val="20"/>
        </w:rPr>
        <w:t xml:space="preserve"> и Министра национальной   </w:t>
      </w:r>
      <w:r>
        <w:br/>
      </w:r>
      <w:r>
        <w:rPr>
          <w:color w:val="000000"/>
          <w:sz w:val="20"/>
        </w:rPr>
        <w:t>экономики Республики Казахстан</w:t>
      </w:r>
      <w:r>
        <w:br/>
      </w:r>
      <w:r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9 февраля 2016 года № 65</w:t>
      </w:r>
    </w:p>
    <w:p w:rsidR="00421463" w:rsidRDefault="00952275">
      <w:pPr>
        <w:spacing w:after="0"/>
      </w:pPr>
      <w:bookmarkStart w:id="11" w:name="z32"/>
      <w:bookmarkEnd w:id="10"/>
      <w:r>
        <w:rPr>
          <w:color w:val="000000"/>
          <w:sz w:val="20"/>
        </w:rPr>
        <w:t>                       </w:t>
      </w:r>
      <w:r>
        <w:rPr>
          <w:b/>
          <w:color w:val="000000"/>
          <w:sz w:val="20"/>
        </w:rPr>
        <w:t>   Проверочный лист</w:t>
      </w:r>
      <w:r>
        <w:br/>
      </w:r>
      <w:r>
        <w:rPr>
          <w:b/>
          <w:color w:val="000000"/>
          <w:sz w:val="20"/>
        </w:rPr>
        <w:t>   в области применения законодательства Республики Казахстан о</w:t>
      </w:r>
      <w:r>
        <w:br/>
      </w:r>
      <w:r>
        <w:rPr>
          <w:b/>
          <w:color w:val="000000"/>
          <w:sz w:val="20"/>
        </w:rPr>
        <w:t>                               языках</w:t>
      </w:r>
    </w:p>
    <w:bookmarkEnd w:id="11"/>
    <w:p w:rsidR="00421463" w:rsidRDefault="00952275">
      <w:pPr>
        <w:spacing w:after="0"/>
      </w:pPr>
      <w:r>
        <w:rPr>
          <w:color w:val="000000"/>
          <w:sz w:val="20"/>
        </w:rPr>
        <w:t>         в отношении ______________________________________</w:t>
      </w:r>
      <w:r>
        <w:br/>
      </w:r>
      <w:r>
        <w:rPr>
          <w:color w:val="000000"/>
          <w:sz w:val="20"/>
        </w:rPr>
        <w:t>   (наименование однородн</w:t>
      </w:r>
      <w:r>
        <w:rPr>
          <w:color w:val="000000"/>
          <w:sz w:val="20"/>
        </w:rPr>
        <w:t>ой группы проверяемых субъектов (объектов)</w:t>
      </w:r>
    </w:p>
    <w:p w:rsidR="00421463" w:rsidRDefault="00952275">
      <w:pPr>
        <w:spacing w:after="0"/>
      </w:pPr>
      <w:r>
        <w:rPr>
          <w:color w:val="000000"/>
          <w:sz w:val="20"/>
        </w:rPr>
        <w:t>Государственный орган, назначивший проверку 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___________________________________________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                                     (№, дата)</w:t>
      </w:r>
      <w:r>
        <w:br/>
      </w:r>
      <w:r>
        <w:rPr>
          <w:color w:val="000000"/>
          <w:sz w:val="20"/>
        </w:rPr>
        <w:t>Наименование проверяемого субъекта 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БИН проверяемого субъекта ________________________________________</w:t>
      </w:r>
      <w:r>
        <w:rPr>
          <w:color w:val="000000"/>
          <w:sz w:val="20"/>
        </w:rPr>
        <w:t>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421463" w:rsidRDefault="00952275">
      <w:pPr>
        <w:spacing w:after="0"/>
      </w:pPr>
      <w:r>
        <w:rPr>
          <w:color w:val="000000"/>
          <w:sz w:val="20"/>
        </w:rPr>
        <w:t>                   Адрес места нахождения субъекта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1"/>
        <w:gridCol w:w="3132"/>
        <w:gridCol w:w="1235"/>
        <w:gridCol w:w="1382"/>
        <w:gridCol w:w="1665"/>
        <w:gridCol w:w="1527"/>
      </w:tblGrid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b/>
                <w:color w:val="000000"/>
                <w:sz w:val="20"/>
              </w:rPr>
              <w:t>требований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требуется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не требуется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не соответствует требованиям</w:t>
            </w:r>
          </w:p>
        </w:tc>
      </w:tr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 информационному источнику</w:t>
            </w:r>
            <w:r>
              <w:rPr>
                <w:b/>
                <w:color w:val="000000"/>
                <w:sz w:val="20"/>
              </w:rPr>
              <w:t xml:space="preserve"> «результаты предыдущих проверок»</w:t>
            </w:r>
          </w:p>
        </w:tc>
      </w:tr>
      <w:tr w:rsidR="00421463">
        <w:trPr>
          <w:trHeight w:val="1215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Ведение учетно-статистической, финансовой и технической документации на государственном и на русском языках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</w:tr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Употребление государственного языка или языка обращения при ведении делопроизводства по </w:t>
            </w:r>
            <w:r>
              <w:rPr>
                <w:color w:val="000000"/>
                <w:sz w:val="20"/>
              </w:rPr>
              <w:t>обращениям физических и юридических лиц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</w:tr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Применение государственного языка при оформлении исходящей корреспонденции в государственных органах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</w:tr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Употребление государственного языка в делопроизводстве 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</w:tr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</w:t>
            </w:r>
            <w:r>
              <w:rPr>
                <w:color w:val="000000"/>
                <w:sz w:val="20"/>
              </w:rPr>
              <w:t>государственными органами требований, предусмотренных законодательством о языках, по разработке и принятию актов государственных органов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</w:tr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требований, предъявляемых к языку, при составлении конкурсной или аукционной документации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</w:tr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Достижение результатов по обеспечению доли государственного социального заказа, направленного на популяризацию государственного языка (ежегодно не менее 10 %)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</w:tr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Принятие государственными органами мер по созданию организационных, </w:t>
            </w:r>
            <w:r>
              <w:rPr>
                <w:color w:val="000000"/>
                <w:sz w:val="20"/>
              </w:rPr>
              <w:t>материально-технических условий для свободного и бесплатного овладения государственным языком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</w:tr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требований, предъявляемых к языку, при совершении сделок в письменной форме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</w:tr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требований, предъявляемых к языку, </w:t>
            </w:r>
            <w:r>
              <w:rPr>
                <w:color w:val="000000"/>
                <w:sz w:val="20"/>
              </w:rPr>
              <w:t>при наполнении материалами государственных информационных систем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</w:tr>
      <w:tr w:rsidR="00421463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5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требований, предъявляемых к языку, в текстах печатей и штампов государственных органов и государственных учреждений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463" w:rsidRDefault="00952275">
            <w:pPr>
              <w:spacing w:after="0"/>
            </w:pPr>
            <w:r>
              <w:br/>
            </w:r>
          </w:p>
        </w:tc>
      </w:tr>
    </w:tbl>
    <w:p w:rsidR="00421463" w:rsidRDefault="00952275">
      <w:pPr>
        <w:spacing w:after="0"/>
        <w:jc w:val="right"/>
      </w:pPr>
      <w:bookmarkStart w:id="12" w:name="z33"/>
      <w:r>
        <w:rPr>
          <w:color w:val="000000"/>
          <w:sz w:val="20"/>
        </w:rPr>
        <w:t xml:space="preserve">  Приложение 3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к Cовместному приказу    </w:t>
      </w:r>
      <w:r>
        <w:br/>
      </w:r>
      <w:r>
        <w:rPr>
          <w:color w:val="000000"/>
          <w:sz w:val="20"/>
        </w:rPr>
        <w:t xml:space="preserve"> Министра культуры и спорта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28 января 2016 года № 20  </w:t>
      </w:r>
      <w:r>
        <w:br/>
      </w:r>
      <w:r>
        <w:rPr>
          <w:color w:val="000000"/>
          <w:sz w:val="20"/>
        </w:rPr>
        <w:t xml:space="preserve"> и Министра национальной   </w:t>
      </w:r>
      <w:r>
        <w:br/>
      </w:r>
      <w:r>
        <w:rPr>
          <w:color w:val="000000"/>
          <w:sz w:val="20"/>
        </w:rPr>
        <w:t>экономики Республики Казахстан</w:t>
      </w:r>
      <w:r>
        <w:br/>
      </w:r>
      <w:r>
        <w:rPr>
          <w:color w:val="000000"/>
          <w:sz w:val="20"/>
        </w:rPr>
        <w:t>от 9 февраля 2016 года № 65</w:t>
      </w:r>
    </w:p>
    <w:p w:rsidR="00421463" w:rsidRDefault="00952275">
      <w:pPr>
        <w:spacing w:after="0"/>
      </w:pPr>
      <w:bookmarkStart w:id="13" w:name="z34"/>
      <w:bookmarkEnd w:id="12"/>
      <w:r>
        <w:rPr>
          <w:b/>
          <w:color w:val="000000"/>
        </w:rPr>
        <w:t xml:space="preserve">   Перечень утративших силу приказов Министра культуры Р</w:t>
      </w:r>
      <w:r>
        <w:rPr>
          <w:b/>
          <w:color w:val="000000"/>
        </w:rPr>
        <w:t>еспублики</w:t>
      </w:r>
      <w:r>
        <w:br/>
      </w:r>
      <w:r>
        <w:rPr>
          <w:b/>
          <w:color w:val="000000"/>
        </w:rPr>
        <w:t>Казахстан и Министра культуры и информации</w:t>
      </w:r>
      <w:r>
        <w:br/>
      </w:r>
      <w:r>
        <w:rPr>
          <w:b/>
          <w:color w:val="000000"/>
        </w:rPr>
        <w:t>Республики Казахстан</w:t>
      </w:r>
    </w:p>
    <w:p w:rsidR="00421463" w:rsidRDefault="00952275">
      <w:pPr>
        <w:spacing w:after="0"/>
      </w:pPr>
      <w:bookmarkStart w:id="14" w:name="z35"/>
      <w:bookmarkEnd w:id="13"/>
      <w:r>
        <w:rPr>
          <w:color w:val="000000"/>
          <w:sz w:val="20"/>
        </w:rPr>
        <w:t>      1. Приказ Министра культуры Республики Казахстан от 28 февраля 2011 года № 37 «Об утверждении формы проверочного листа в области применения законодательства Республики Казахста</w:t>
      </w:r>
      <w:r>
        <w:rPr>
          <w:color w:val="000000"/>
          <w:sz w:val="20"/>
        </w:rPr>
        <w:t>н о языках» (зарегистрированный в Реестре государственной регистрации нормативных правовых актов за № 6826, опубликованный в газете «Казахстанская правда» от 7 апреля 2011 года № 117 (26538);</w:t>
      </w:r>
      <w:r>
        <w:br/>
      </w:r>
      <w:r>
        <w:rPr>
          <w:color w:val="000000"/>
          <w:sz w:val="20"/>
        </w:rPr>
        <w:t>      2. Приказ Министра культуры Республики Казахстан от 28 фев</w:t>
      </w:r>
      <w:r>
        <w:rPr>
          <w:color w:val="000000"/>
          <w:sz w:val="20"/>
        </w:rPr>
        <w:t xml:space="preserve">раля 2011 года № 38 «Об утверждении критериев оценки степени риска в области применения законодательства Республики Казахстан о языках» (зарегистрированный в Реестре государственной регистрации нормативных правовых актов за № 6827, опубликованный в газете </w:t>
      </w:r>
      <w:r>
        <w:rPr>
          <w:color w:val="000000"/>
          <w:sz w:val="20"/>
        </w:rPr>
        <w:t>«Казахстанская правда» от 6 апреля 2011 года № 130-133 (26535);</w:t>
      </w:r>
      <w:r>
        <w:br/>
      </w:r>
      <w:r>
        <w:rPr>
          <w:color w:val="000000"/>
          <w:sz w:val="20"/>
        </w:rPr>
        <w:t xml:space="preserve">      3. Приказ Министра культуры и информации Республики Казахстан от 12 октября 2013 года № 234 «О внесении изменения в приказ Министра культуры Республики Казахстан от 28 февраля 2011 года </w:t>
      </w:r>
      <w:r>
        <w:rPr>
          <w:color w:val="000000"/>
          <w:sz w:val="20"/>
        </w:rPr>
        <w:t>№ 37 «Об утверждении формы проверочного листа в области применения законодательства Республики Казахстан о языках» (зарегистрированный в Реестре государственной регистрации нормативных правовых актов за № 8898, опубликованный в газете «Казахстанская правда</w:t>
      </w:r>
      <w:r>
        <w:rPr>
          <w:color w:val="000000"/>
          <w:sz w:val="20"/>
        </w:rPr>
        <w:t>» от 11 декабря 2013 года № 334 (27608).</w:t>
      </w:r>
    </w:p>
    <w:bookmarkEnd w:id="14"/>
    <w:p w:rsidR="00421463" w:rsidRDefault="00952275">
      <w:pPr>
        <w:spacing w:after="0"/>
      </w:pPr>
      <w:r>
        <w:br/>
      </w:r>
      <w:r>
        <w:br/>
      </w:r>
    </w:p>
    <w:p w:rsidR="00421463" w:rsidRDefault="00952275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42146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63"/>
    <w:rsid w:val="00421463"/>
    <w:rsid w:val="0095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EB8D9-2B98-4CC2-A9AB-14C6992C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2017-01-17T15:33:00Z</dcterms:created>
  <dcterms:modified xsi:type="dcterms:W3CDTF">2017-01-17T15:33:00Z</dcterms:modified>
</cp:coreProperties>
</file>