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19" w:rsidRDefault="00A65C3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19" w:rsidRPr="00A65C32" w:rsidRDefault="00A65C32">
      <w:pPr>
        <w:spacing w:after="0"/>
        <w:rPr>
          <w:lang w:val="ru-RU"/>
        </w:rPr>
      </w:pPr>
      <w:r w:rsidRPr="00A65C32">
        <w:rPr>
          <w:b/>
          <w:color w:val="000000"/>
          <w:lang w:val="ru-RU"/>
        </w:rPr>
        <w:t>Об утверждении типовой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внутреннего государственного аудита</w:t>
      </w:r>
    </w:p>
    <w:p w:rsidR="00DC6319" w:rsidRPr="00A65C32" w:rsidRDefault="00A65C32">
      <w:pPr>
        <w:spacing w:after="0"/>
        <w:rPr>
          <w:lang w:val="ru-RU"/>
        </w:rPr>
      </w:pPr>
      <w:r w:rsidRPr="00A65C32">
        <w:rPr>
          <w:color w:val="000000"/>
          <w:sz w:val="20"/>
          <w:lang w:val="ru-RU"/>
        </w:rPr>
        <w:t xml:space="preserve">Приказ Министра финансов </w:t>
      </w:r>
      <w:r w:rsidRPr="00A65C32">
        <w:rPr>
          <w:color w:val="000000"/>
          <w:sz w:val="20"/>
          <w:lang w:val="ru-RU"/>
        </w:rPr>
        <w:t>Республики Казахстан от 30 ноября 2015 года № 597. Зарегистрирован в Министерстве юстиции Республики Казахстан 24 декабря 2015 года № 12490</w:t>
      </w:r>
    </w:p>
    <w:p w:rsidR="00DC6319" w:rsidRDefault="00A65C32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В соответствии с подпунктом 10)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>статьи 14 Закона Республики Казахстан от 12 ноября 2015 года «О государственно</w:t>
      </w:r>
      <w:r w:rsidRPr="00A65C32">
        <w:rPr>
          <w:color w:val="000000"/>
          <w:sz w:val="20"/>
          <w:lang w:val="ru-RU"/>
        </w:rPr>
        <w:t xml:space="preserve">м аудите и финансовом контроле», </w:t>
      </w:r>
      <w:r w:rsidRPr="00A65C32">
        <w:rPr>
          <w:b/>
          <w:color w:val="000000"/>
          <w:sz w:val="20"/>
          <w:lang w:val="ru-RU"/>
        </w:rPr>
        <w:t>ПРИКАЗЫВАЮ: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прилагаемую Типовую систему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внутрен</w:t>
      </w:r>
      <w:r>
        <w:rPr>
          <w:color w:val="000000"/>
          <w:sz w:val="20"/>
        </w:rPr>
        <w:t>него государственного аудита.</w:t>
      </w:r>
      <w:r>
        <w:br/>
      </w:r>
      <w:r>
        <w:rPr>
          <w:color w:val="000000"/>
          <w:sz w:val="20"/>
        </w:rPr>
        <w:t>      2. Департаменту методологии бухгалтерского учета и аудита Министерства финансов Республики Казахстан (Бектурова А.Т</w:t>
      </w:r>
      <w:bookmarkStart w:id="1" w:name="_GoBack"/>
      <w:bookmarkEnd w:id="1"/>
      <w:r>
        <w:rPr>
          <w:color w:val="000000"/>
          <w:sz w:val="20"/>
        </w:rPr>
        <w:t>.)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 xml:space="preserve">      1) государственную регистрацию настоящего </w:t>
      </w:r>
      <w:r>
        <w:rPr>
          <w:color w:val="000000"/>
          <w:sz w:val="20"/>
        </w:rPr>
        <w:t>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</w:t>
      </w:r>
      <w:r>
        <w:rPr>
          <w:color w:val="000000"/>
          <w:sz w:val="20"/>
        </w:rPr>
        <w:t>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 - ресурсе Министерства финансов Республики Казахстан.</w:t>
      </w:r>
      <w:r>
        <w:br/>
      </w:r>
      <w:r>
        <w:rPr>
          <w:color w:val="000000"/>
          <w:sz w:val="20"/>
        </w:rPr>
        <w:t>      3. Настоящий приказ вводится в действие со дня его государственной регистрации.</w:t>
      </w:r>
    </w:p>
    <w:bookmarkEnd w:id="0"/>
    <w:p w:rsidR="00DC6319" w:rsidRPr="00A65C32" w:rsidRDefault="00A65C32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A65C32">
        <w:rPr>
          <w:i/>
          <w:color w:val="000000"/>
          <w:sz w:val="20"/>
          <w:lang w:val="ru-RU"/>
        </w:rPr>
        <w:t>Министр финансов</w:t>
      </w:r>
      <w:r w:rsidRPr="00A65C3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65C3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</w:t>
      </w:r>
      <w:r>
        <w:rPr>
          <w:i/>
          <w:color w:val="000000"/>
          <w:sz w:val="20"/>
        </w:rPr>
        <w:t>                     </w:t>
      </w:r>
      <w:r w:rsidRPr="00A65C32">
        <w:rPr>
          <w:i/>
          <w:color w:val="000000"/>
          <w:sz w:val="20"/>
          <w:lang w:val="ru-RU"/>
        </w:rPr>
        <w:t xml:space="preserve"> Б. Султанов</w:t>
      </w:r>
    </w:p>
    <w:p w:rsidR="00DC6319" w:rsidRPr="00A65C32" w:rsidRDefault="00A65C32">
      <w:pPr>
        <w:spacing w:after="0"/>
        <w:jc w:val="right"/>
        <w:rPr>
          <w:lang w:val="ru-RU"/>
        </w:rPr>
      </w:pPr>
      <w:bookmarkStart w:id="2" w:name="z5"/>
      <w:r w:rsidRPr="00A65C32">
        <w:rPr>
          <w:color w:val="000000"/>
          <w:sz w:val="20"/>
          <w:lang w:val="ru-RU"/>
        </w:rPr>
        <w:t xml:space="preserve">  Утверждена</w:t>
      </w:r>
      <w:r>
        <w:rPr>
          <w:color w:val="000000"/>
          <w:sz w:val="20"/>
        </w:rPr>
        <w:t>      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приказом Министра финансов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>от 30 ноября 2015 года № 597</w:t>
      </w:r>
    </w:p>
    <w:p w:rsidR="00DC6319" w:rsidRPr="00A65C32" w:rsidRDefault="00A65C32">
      <w:pPr>
        <w:spacing w:after="0"/>
        <w:rPr>
          <w:lang w:val="ru-RU"/>
        </w:rPr>
      </w:pPr>
      <w:bookmarkStart w:id="3" w:name="z6"/>
      <w:bookmarkEnd w:id="2"/>
      <w:r w:rsidRPr="00A65C32">
        <w:rPr>
          <w:b/>
          <w:color w:val="000000"/>
          <w:lang w:val="ru-RU"/>
        </w:rPr>
        <w:t xml:space="preserve">   Типовая система управления рисками, которая применяется при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формировании перечня объектов государственного аудита</w:t>
      </w:r>
      <w:r w:rsidRPr="00A65C32">
        <w:rPr>
          <w:b/>
          <w:color w:val="000000"/>
          <w:lang w:val="ru-RU"/>
        </w:rPr>
        <w:t xml:space="preserve"> и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финансового контроля на соответствующий год и проведении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внутреннего государственного аудита</w:t>
      </w:r>
    </w:p>
    <w:p w:rsidR="00DC6319" w:rsidRPr="00A65C32" w:rsidRDefault="00A65C32">
      <w:pPr>
        <w:spacing w:after="0"/>
        <w:rPr>
          <w:lang w:val="ru-RU"/>
        </w:rPr>
      </w:pPr>
      <w:bookmarkStart w:id="4" w:name="z7"/>
      <w:bookmarkEnd w:id="3"/>
      <w:r w:rsidRPr="00A65C32">
        <w:rPr>
          <w:b/>
          <w:color w:val="000000"/>
          <w:lang w:val="ru-RU"/>
        </w:rPr>
        <w:t xml:space="preserve">   1. Общие положения</w:t>
      </w:r>
    </w:p>
    <w:p w:rsidR="00DC6319" w:rsidRDefault="00A65C32">
      <w:pPr>
        <w:spacing w:after="0"/>
      </w:pPr>
      <w:bookmarkStart w:id="5" w:name="z8"/>
      <w:bookmarkEnd w:id="4"/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1. Настоящая типовая система управления рисками, которая применяется при формировании перечня объектов государственного аудита и фин</w:t>
      </w:r>
      <w:r w:rsidRPr="00A65C32">
        <w:rPr>
          <w:color w:val="000000"/>
          <w:sz w:val="20"/>
          <w:lang w:val="ru-RU"/>
        </w:rPr>
        <w:t>ансового контроля на соответствующий год и проведении внутреннего государственного аудита (далее – Типовая система), разработана в соответствии с подпунктом 10)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>статьи 14 Закона Республики Казахстан от 12 ноября 2015 года «О государственном аудите и финанс</w:t>
      </w:r>
      <w:r w:rsidRPr="00A65C32">
        <w:rPr>
          <w:color w:val="000000"/>
          <w:sz w:val="20"/>
          <w:lang w:val="ru-RU"/>
        </w:rPr>
        <w:t>овом контроле».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2. Типовая система предназначена для создания методологической основы по системе управления рисками для органов внутреннего государственного аудита, целью которой является повышение эффективности формирования перечня объектов государс</w:t>
      </w:r>
      <w:r>
        <w:rPr>
          <w:color w:val="000000"/>
          <w:sz w:val="20"/>
        </w:rPr>
        <w:t>твенного аудита на соответствующий год, проведение государственного аудита и иной деятельности органов внутреннего государственного аудита и финансового контроля (далее – органы внутреннего государственного аудита).</w:t>
      </w:r>
      <w:r>
        <w:br/>
      </w:r>
      <w:r>
        <w:rPr>
          <w:color w:val="000000"/>
          <w:sz w:val="20"/>
        </w:rPr>
        <w:t xml:space="preserve">      </w:t>
      </w:r>
      <w:r w:rsidRPr="00A65C32">
        <w:rPr>
          <w:color w:val="000000"/>
          <w:sz w:val="20"/>
          <w:lang w:val="ru-RU"/>
        </w:rPr>
        <w:t>3. При использовании Типовой систе</w:t>
      </w:r>
      <w:r w:rsidRPr="00A65C32">
        <w:rPr>
          <w:color w:val="000000"/>
          <w:sz w:val="20"/>
          <w:lang w:val="ru-RU"/>
        </w:rPr>
        <w:t>мы применяются следующие основные понятия: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1) балл – количественная мера исчисления риска;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2) таблица баллов – определение уровня риска с помощью ранжирования критериев и/или интервалов значений каждого ключевого индикатора риска;</w:t>
      </w:r>
      <w:r w:rsidRPr="00A65C32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A65C32">
        <w:rPr>
          <w:color w:val="000000"/>
          <w:sz w:val="20"/>
          <w:lang w:val="ru-RU"/>
        </w:rPr>
        <w:t xml:space="preserve"> 3) меры</w:t>
      </w:r>
      <w:r w:rsidRPr="00A65C32">
        <w:rPr>
          <w:color w:val="000000"/>
          <w:sz w:val="20"/>
          <w:lang w:val="ru-RU"/>
        </w:rPr>
        <w:t xml:space="preserve"> реагирования – комплекс мероприятий, принимаемые органами внутреннего государственного аудита направленных на предупреждения, минимизации и устранения рисков;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4) предметы государственного аудита и финансового контроля (далее – предметы государственн</w:t>
      </w:r>
      <w:r w:rsidRPr="00A65C32">
        <w:rPr>
          <w:color w:val="000000"/>
          <w:sz w:val="20"/>
          <w:lang w:val="ru-RU"/>
        </w:rPr>
        <w:t>ого аудита) – деятельность государственных органов, в том числе управление государственными финансами, государственные, отраслевые и бюджетные программы, стратегические планы государственных органов, программы развития территорий;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5) объекты государс</w:t>
      </w:r>
      <w:r w:rsidRPr="00A65C32">
        <w:rPr>
          <w:color w:val="000000"/>
          <w:sz w:val="20"/>
          <w:lang w:val="ru-RU"/>
        </w:rPr>
        <w:t>твенного аудита и финансового контроля (далее – объекты государственного аудита) – государственные органы, государственные учреждения, субъекты квазигосударственного сектора, а также получатели бюджетных средств;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6) экспертный анализ – метод анализа,</w:t>
      </w:r>
      <w:r w:rsidRPr="00A65C32">
        <w:rPr>
          <w:color w:val="000000"/>
          <w:sz w:val="20"/>
          <w:lang w:val="ru-RU"/>
        </w:rPr>
        <w:t xml:space="preserve"> основанный на навыках и знаниях специалистов (экспертов);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7) риск – вероятность несоблюдения бюджетного и иного законодательства Республики Казахстан, неблагоприятного воздействия события или действия на объект и предмет государственного аудита, кот</w:t>
      </w:r>
      <w:r w:rsidRPr="00A65C32">
        <w:rPr>
          <w:color w:val="000000"/>
          <w:sz w:val="20"/>
          <w:lang w:val="ru-RU"/>
        </w:rPr>
        <w:t>орая может привести к финансовым нарушениям, хищениям (растрате) бюджетных средств и нанесению экономического ущерба государству, а также вероятность недостижения или неисполнения в полном объеме целевых индикаторов и показателей, предусмотренных в програм</w:t>
      </w:r>
      <w:r w:rsidRPr="00A65C32">
        <w:rPr>
          <w:color w:val="000000"/>
          <w:sz w:val="20"/>
          <w:lang w:val="ru-RU"/>
        </w:rPr>
        <w:t>мных документах и стратегических планах государственных органов;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8) оценка риска - включает определение на основе качественных и (или) количественных подходов вероятности наступления негативного события и влияния последствий;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9) количественные </w:t>
      </w:r>
      <w:r w:rsidRPr="00A65C32">
        <w:rPr>
          <w:color w:val="000000"/>
          <w:sz w:val="20"/>
          <w:lang w:val="ru-RU"/>
        </w:rPr>
        <w:t>методы оценки риска – методы, основанные на статистических и математических инструментах и техниках анализа данных и моделировании;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10) качественные методы оценки риска – оценка рисков, основанная на экспертно-аналитических методах;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>система</w:t>
      </w:r>
      <w:r w:rsidRPr="00A65C32">
        <w:rPr>
          <w:color w:val="000000"/>
          <w:sz w:val="20"/>
          <w:lang w:val="ru-RU"/>
        </w:rPr>
        <w:t xml:space="preserve"> управления рисками – система администрировани</w:t>
      </w:r>
      <w:r>
        <w:rPr>
          <w:color w:val="000000"/>
          <w:sz w:val="20"/>
        </w:rPr>
        <w:t>я, обеспечивающая формирование перечня объектов государственного аудита и финансового контроля на соответствующий год и проведение государственного аудита, иной деятельности органов внутреннего государственного</w:t>
      </w:r>
      <w:r>
        <w:rPr>
          <w:color w:val="000000"/>
          <w:sz w:val="20"/>
        </w:rPr>
        <w:t xml:space="preserve"> аудита, базирующаяся на принципах выборочности, оптимального распределения ресурсов на наиболее приоритетных направлениях государственного аудита, включающая в себя всесторонний анализ совокупности имеющихся рисков, их идентификацию и оценку, выработку и </w:t>
      </w:r>
      <w:r>
        <w:rPr>
          <w:color w:val="000000"/>
          <w:sz w:val="20"/>
        </w:rPr>
        <w:t>принятие мер реагирования, мониторинг эффективности результатов принятых мер;</w:t>
      </w:r>
      <w:r>
        <w:br/>
      </w:r>
      <w:r>
        <w:rPr>
          <w:color w:val="000000"/>
          <w:sz w:val="20"/>
        </w:rPr>
        <w:t>      12) профиль риска – совокупность условий выбора данных, определенная путем анализа сведений о деятельности объектов государственного аудита и разрабатываемая с целью выявле</w:t>
      </w:r>
      <w:r>
        <w:rPr>
          <w:color w:val="000000"/>
          <w:sz w:val="20"/>
        </w:rPr>
        <w:t>ния определенных нарушений/рисков;</w:t>
      </w:r>
      <w:r>
        <w:br/>
      </w:r>
      <w:r>
        <w:rPr>
          <w:color w:val="000000"/>
          <w:sz w:val="20"/>
        </w:rPr>
        <w:t>      13) уровень риска – величина риска, выраженная в результате комбинации последствий и вероятности их наступления;</w:t>
      </w:r>
      <w:r>
        <w:br/>
      </w:r>
      <w:r>
        <w:rPr>
          <w:color w:val="000000"/>
          <w:sz w:val="20"/>
        </w:rPr>
        <w:t xml:space="preserve">      14) источник риска – объект, который самостоятельно или в комбинации с другими обладает </w:t>
      </w:r>
      <w:r>
        <w:rPr>
          <w:color w:val="000000"/>
          <w:sz w:val="20"/>
        </w:rPr>
        <w:t>возможностью вызывать повышение риска;</w:t>
      </w:r>
      <w:r>
        <w:br/>
      </w:r>
      <w:r>
        <w:rPr>
          <w:color w:val="000000"/>
          <w:sz w:val="20"/>
        </w:rPr>
        <w:t>      15) критерии риска (ключевые индикаторы рисков) – показатели, используемые для отслеживания и прогнозирования появления риска в целях осуществления риск-ориентированного отбора на основе которых принимается реше</w:t>
      </w:r>
      <w:r>
        <w:rPr>
          <w:color w:val="000000"/>
          <w:sz w:val="20"/>
        </w:rPr>
        <w:t>ние об отнесении предмета и объекта государственного аудита к определенной группе риска;</w:t>
      </w:r>
      <w:r>
        <w:br/>
      </w:r>
      <w:r>
        <w:rPr>
          <w:color w:val="000000"/>
          <w:sz w:val="20"/>
        </w:rPr>
        <w:t>      16) матрица-риска – матрица, используемая в оценке рисков, представляющая собой ранжирование рисков по их степени, имеет диапазоны по вероятностям и воздействиям</w:t>
      </w:r>
      <w:r>
        <w:rPr>
          <w:color w:val="000000"/>
          <w:sz w:val="20"/>
        </w:rPr>
        <w:t>, применяется в процессе принятия решений по мерам реагирования;</w:t>
      </w:r>
      <w:r>
        <w:br/>
      </w:r>
      <w:r>
        <w:rPr>
          <w:color w:val="000000"/>
          <w:sz w:val="20"/>
        </w:rPr>
        <w:t>      17) мониторинг рисков – учет объектов и предметов государственного аудита по степени риска в динамике для последующего анализа и оценки эффективности действий по предупреждению, минимиз</w:t>
      </w:r>
      <w:r>
        <w:rPr>
          <w:color w:val="000000"/>
          <w:sz w:val="20"/>
        </w:rPr>
        <w:t>ации, устранения рисков объектами государственного аудита;</w:t>
      </w:r>
      <w:r>
        <w:br/>
      </w:r>
      <w:r>
        <w:rPr>
          <w:color w:val="000000"/>
          <w:sz w:val="20"/>
        </w:rPr>
        <w:t xml:space="preserve">      18) идентификация риска – анализ всех рисковых обстоятельств и возможных рисковых </w:t>
      </w:r>
      <w:r>
        <w:rPr>
          <w:color w:val="000000"/>
          <w:sz w:val="20"/>
        </w:rPr>
        <w:lastRenderedPageBreak/>
        <w:t>обстоятельств и ситуаций, с целью выявления причин и признаков возникновения рисков, определения их критериев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19) анализ риска – действие, проводимое для выявления наибольших вероятностей наступления и влияния риска на ту или иную сферу деятельности объекта государственного аудита;</w:t>
      </w:r>
      <w:r>
        <w:br/>
      </w:r>
      <w:r>
        <w:rPr>
          <w:color w:val="000000"/>
          <w:sz w:val="20"/>
        </w:rPr>
        <w:t>      20) реестр рисков – структурированный перечень рисков, содержащий рез</w:t>
      </w:r>
      <w:r>
        <w:rPr>
          <w:color w:val="000000"/>
          <w:sz w:val="20"/>
        </w:rPr>
        <w:t>ультаты их качественного и (или) количественного анализа, также включающий критерии и причины рисков, вероятность их возникновения, воздействие (ущерб), приоритет и меры реагирования;</w:t>
      </w:r>
      <w:r>
        <w:br/>
      </w:r>
      <w:r>
        <w:rPr>
          <w:color w:val="000000"/>
          <w:sz w:val="20"/>
        </w:rPr>
        <w:t>      21) профиль риска немедленного реагирования – профиль риска, требу</w:t>
      </w:r>
      <w:r>
        <w:rPr>
          <w:color w:val="000000"/>
          <w:sz w:val="20"/>
        </w:rPr>
        <w:t>ющий принятие решения о способах реакции на риск в возможно кратчайшие сроки.</w:t>
      </w:r>
    </w:p>
    <w:p w:rsidR="00DC6319" w:rsidRPr="00A65C32" w:rsidRDefault="00A65C32">
      <w:pPr>
        <w:spacing w:after="0"/>
        <w:rPr>
          <w:lang w:val="ru-RU"/>
        </w:rPr>
      </w:pPr>
      <w:bookmarkStart w:id="6" w:name="z32"/>
      <w:bookmarkEnd w:id="5"/>
      <w:r>
        <w:rPr>
          <w:b/>
          <w:color w:val="000000"/>
        </w:rPr>
        <w:t xml:space="preserve">   </w:t>
      </w:r>
      <w:r w:rsidRPr="00A65C32">
        <w:rPr>
          <w:b/>
          <w:color w:val="000000"/>
          <w:lang w:val="ru-RU"/>
        </w:rPr>
        <w:t>2. Основные этапы системы управления рисками</w:t>
      </w:r>
    </w:p>
    <w:p w:rsidR="00DC6319" w:rsidRDefault="00A65C32">
      <w:pPr>
        <w:spacing w:after="0"/>
      </w:pPr>
      <w:bookmarkStart w:id="7" w:name="z33"/>
      <w:bookmarkEnd w:id="6"/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4. Система управления рисками подразделяется на следующие этапы: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1) сбор информации;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2) идентификация риска;</w:t>
      </w:r>
      <w:r w:rsidRPr="00A65C32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A65C32">
        <w:rPr>
          <w:color w:val="000000"/>
          <w:sz w:val="20"/>
          <w:lang w:val="ru-RU"/>
        </w:rPr>
        <w:t xml:space="preserve"> 3) оценка риска;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4) меры реагирования;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5) мониторинг рисков.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Сбор информации осуществляется из финансовой и бюджетной отчетности, полученной от объектов государственного аудита и других официальных источников, а также иных сведений </w:t>
      </w:r>
      <w:r>
        <w:rPr>
          <w:color w:val="000000"/>
          <w:sz w:val="20"/>
        </w:rPr>
        <w:t>о деятельности объектов государственного аудита для проведения оценки рисков.</w:t>
      </w:r>
      <w:r>
        <w:br/>
      </w:r>
      <w:r>
        <w:rPr>
          <w:color w:val="000000"/>
          <w:sz w:val="20"/>
        </w:rPr>
        <w:t>      По объектам и предметам государственного аудита проводится систематизация и формирование базы данных.</w:t>
      </w:r>
      <w:r>
        <w:br/>
      </w:r>
      <w:r>
        <w:rPr>
          <w:color w:val="000000"/>
          <w:sz w:val="20"/>
        </w:rPr>
        <w:t>      Процессы сбора, обработки и хранения информации максимально авто</w:t>
      </w:r>
      <w:r>
        <w:rPr>
          <w:color w:val="000000"/>
          <w:sz w:val="20"/>
        </w:rPr>
        <w:t>матизируются и допускают возможность проверки корректности полученных данных.</w:t>
      </w:r>
      <w:r>
        <w:br/>
      </w:r>
      <w:r>
        <w:rPr>
          <w:color w:val="000000"/>
          <w:sz w:val="20"/>
        </w:rPr>
        <w:t>      Сбор и актуализация информации осуществляется на периодичной основе, в зависимости от необходимости проведения оценки рисков и их критериев.</w:t>
      </w:r>
      <w:r>
        <w:br/>
      </w:r>
      <w:r>
        <w:rPr>
          <w:color w:val="000000"/>
          <w:sz w:val="20"/>
        </w:rPr>
        <w:t>      6. Идентификация рисков п</w:t>
      </w:r>
      <w:r>
        <w:rPr>
          <w:color w:val="000000"/>
          <w:sz w:val="20"/>
        </w:rPr>
        <w:t>роводится посредством изучения объектов и предметов государственного аудита в целях определения рисков и их критериев путем выявления потенциальных и реализованных угроз и опасностей причин их возникновения.</w:t>
      </w:r>
      <w:r>
        <w:br/>
      </w:r>
      <w:r>
        <w:rPr>
          <w:color w:val="000000"/>
          <w:sz w:val="20"/>
        </w:rPr>
        <w:t>      Критерии рисков определяются с оптимальным</w:t>
      </w:r>
      <w:r>
        <w:rPr>
          <w:color w:val="000000"/>
          <w:sz w:val="20"/>
        </w:rPr>
        <w:t>и условиями для выявления наибольших вероятностей наступления рисков для органов внутреннего государственного аудита согласно возложенным функциям и полномочиям в зависимости от уровня бюджета в соответствии с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 ходе проведения идентификации рисков устанавливаются основные параметры для управления рисками, определяются области применения, источники рисков и типы нарушения.</w:t>
      </w:r>
      <w:r>
        <w:br/>
      </w:r>
      <w:r>
        <w:rPr>
          <w:color w:val="000000"/>
          <w:sz w:val="20"/>
        </w:rPr>
        <w:t xml:space="preserve">      Органы внутреннего государственного аудита при определении рисков, в зависимости от </w:t>
      </w:r>
      <w:r>
        <w:rPr>
          <w:color w:val="000000"/>
          <w:sz w:val="20"/>
        </w:rPr>
        <w:t>возложенных функций и полномочий используют следующие направления:</w:t>
      </w:r>
      <w:r>
        <w:br/>
      </w:r>
      <w:r>
        <w:rPr>
          <w:color w:val="000000"/>
          <w:sz w:val="20"/>
        </w:rPr>
        <w:t>      1) риски в области расходной части бюджета, которые включают два уровня оценки рисков по:</w:t>
      </w:r>
      <w:r>
        <w:br/>
      </w:r>
      <w:r>
        <w:rPr>
          <w:color w:val="000000"/>
          <w:sz w:val="20"/>
        </w:rPr>
        <w:t>      предмету государственного аудита (программные документы, бюджетные программы);</w:t>
      </w:r>
      <w:r>
        <w:br/>
      </w:r>
      <w:r>
        <w:rPr>
          <w:color w:val="000000"/>
          <w:sz w:val="20"/>
        </w:rPr>
        <w:t>      об</w:t>
      </w:r>
      <w:r>
        <w:rPr>
          <w:color w:val="000000"/>
          <w:sz w:val="20"/>
        </w:rPr>
        <w:t>ъектам государственного аудита (администраторы бюджетных программ и другие государственные учреждения).</w:t>
      </w:r>
      <w:r>
        <w:br/>
      </w:r>
      <w:r>
        <w:rPr>
          <w:color w:val="000000"/>
          <w:sz w:val="20"/>
        </w:rPr>
        <w:t>      2) риски в области доходной части бюджета, которые определяются по:</w:t>
      </w:r>
      <w:r>
        <w:br/>
      </w:r>
      <w:r>
        <w:rPr>
          <w:color w:val="000000"/>
          <w:sz w:val="20"/>
        </w:rPr>
        <w:t>      налоговым поступлениям;</w:t>
      </w:r>
      <w:r>
        <w:br/>
      </w:r>
      <w:r>
        <w:rPr>
          <w:color w:val="000000"/>
          <w:sz w:val="20"/>
        </w:rPr>
        <w:t>      неналоговым поступлениям.</w:t>
      </w:r>
      <w:r>
        <w:br/>
      </w:r>
      <w:r>
        <w:rPr>
          <w:color w:val="000000"/>
          <w:sz w:val="20"/>
        </w:rPr>
        <w:t>      3) риски п</w:t>
      </w:r>
      <w:r>
        <w:rPr>
          <w:color w:val="000000"/>
          <w:sz w:val="20"/>
        </w:rPr>
        <w:t>о субъектам квазигосударственного сектора.</w:t>
      </w:r>
      <w:r>
        <w:br/>
      </w:r>
      <w:r>
        <w:rPr>
          <w:color w:val="000000"/>
          <w:sz w:val="20"/>
        </w:rPr>
        <w:t>      7. Оценка рисков рассчитывается исходя из их вероятностей и воздействий на основе качественных и (или) количественных методов.</w:t>
      </w:r>
      <w:r>
        <w:br/>
      </w:r>
      <w:r>
        <w:rPr>
          <w:color w:val="000000"/>
          <w:sz w:val="20"/>
        </w:rPr>
        <w:t xml:space="preserve">      Для проведения оценки рисков создается реестр рисков и их критериев. </w:t>
      </w:r>
      <w:r w:rsidRPr="00A65C32">
        <w:rPr>
          <w:color w:val="000000"/>
          <w:sz w:val="20"/>
          <w:lang w:val="ru-RU"/>
        </w:rPr>
        <w:t>В рее</w:t>
      </w:r>
      <w:r w:rsidRPr="00A65C32">
        <w:rPr>
          <w:color w:val="000000"/>
          <w:sz w:val="20"/>
          <w:lang w:val="ru-RU"/>
        </w:rPr>
        <w:t xml:space="preserve">стре рисков отражается наименование, влияние, вероятность, уровень риска и другие показатели </w:t>
      </w:r>
      <w:r w:rsidRPr="00A65C32">
        <w:rPr>
          <w:color w:val="000000"/>
          <w:sz w:val="20"/>
          <w:lang w:val="ru-RU"/>
        </w:rPr>
        <w:lastRenderedPageBreak/>
        <w:t>оценки риска.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Для определения уровня рисков формируется матрица-риска согласно приложению 1 к настоящей Типовой системе с классификацией рисков по степени ва</w:t>
      </w:r>
      <w:r>
        <w:rPr>
          <w:color w:val="000000"/>
          <w:sz w:val="20"/>
        </w:rPr>
        <w:t>жности:</w:t>
      </w:r>
      <w:r>
        <w:br/>
      </w:r>
      <w:r>
        <w:rPr>
          <w:color w:val="000000"/>
          <w:sz w:val="20"/>
        </w:rPr>
        <w:t>      высокая;</w:t>
      </w:r>
      <w:r>
        <w:br/>
      </w:r>
      <w:r>
        <w:rPr>
          <w:color w:val="000000"/>
          <w:sz w:val="20"/>
        </w:rPr>
        <w:t>      средняя;</w:t>
      </w:r>
      <w:r>
        <w:br/>
      </w:r>
      <w:r>
        <w:rPr>
          <w:color w:val="000000"/>
          <w:sz w:val="20"/>
        </w:rPr>
        <w:t>      низкая.</w:t>
      </w:r>
      <w:r>
        <w:br/>
      </w:r>
      <w:r>
        <w:rPr>
          <w:color w:val="000000"/>
          <w:sz w:val="20"/>
        </w:rPr>
        <w:t>      Оценка рисков осуществляется посредством оценки объектов и предметов государственного аудита согласно определенных критериев риска.</w:t>
      </w:r>
      <w:r>
        <w:br/>
      </w:r>
      <w:r>
        <w:rPr>
          <w:color w:val="000000"/>
          <w:sz w:val="20"/>
        </w:rPr>
        <w:t xml:space="preserve">      </w:t>
      </w:r>
      <w:r w:rsidRPr="00A65C32">
        <w:rPr>
          <w:color w:val="000000"/>
          <w:sz w:val="20"/>
          <w:lang w:val="ru-RU"/>
        </w:rPr>
        <w:t>8. По результатам оценки рисков оформляются выходные формы в</w:t>
      </w:r>
      <w:r w:rsidRPr="00A65C32">
        <w:rPr>
          <w:color w:val="000000"/>
          <w:sz w:val="20"/>
          <w:lang w:val="ru-RU"/>
        </w:rPr>
        <w:t xml:space="preserve"> разрезе объектов государственного аудита, критериев риска, баллов риска, уровней риска и мер реагирования.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Применяемые меры реагирования органами внутреннего государственного аудита обеспечивают предупреждение, минимизацию и устранение рисков.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Органами внутреннего государственного аудита посредством проведения соответствующего анализа на периодической основе осуществляются мероприятия по повышению эффективности применяемых мер реагирования.</w:t>
      </w:r>
      <w:r>
        <w:br/>
      </w:r>
      <w:r>
        <w:rPr>
          <w:color w:val="000000"/>
          <w:sz w:val="20"/>
        </w:rPr>
        <w:t>      Меры реагирования на риск подразделяются на след</w:t>
      </w:r>
      <w:r>
        <w:rPr>
          <w:color w:val="000000"/>
          <w:sz w:val="20"/>
        </w:rPr>
        <w:t>ующие категории:</w:t>
      </w:r>
      <w:r>
        <w:br/>
      </w:r>
      <w:r>
        <w:rPr>
          <w:color w:val="000000"/>
          <w:sz w:val="20"/>
        </w:rPr>
        <w:t>      1) превентивные меры реагирования:</w:t>
      </w:r>
      <w:r>
        <w:br/>
      </w:r>
      <w:r>
        <w:rPr>
          <w:color w:val="000000"/>
          <w:sz w:val="20"/>
        </w:rPr>
        <w:t>      получение информации от объектов государственного аудита о причинах возникновения рисков;</w:t>
      </w:r>
      <w:r>
        <w:br/>
      </w:r>
      <w:r>
        <w:rPr>
          <w:color w:val="000000"/>
          <w:sz w:val="20"/>
        </w:rPr>
        <w:t>      предупреждение и минимизация рисков – комплекс мероприятий, без проведения государственного ауди</w:t>
      </w:r>
      <w:r>
        <w:rPr>
          <w:color w:val="000000"/>
          <w:sz w:val="20"/>
        </w:rPr>
        <w:t>та, по объектам государственного аудита, имеющим среднюю степень рисков, заключающийся в представлении объекту государственного аудита и его вышестоящему администратору (руководству) предупреждений (уведомлений) о возникновении условий, ведущих к потенциал</w:t>
      </w:r>
      <w:r>
        <w:rPr>
          <w:color w:val="000000"/>
          <w:sz w:val="20"/>
        </w:rPr>
        <w:t>ьным рискам высокой степени и рекомендаций (предложений) по их недопущению;</w:t>
      </w:r>
      <w:r>
        <w:br/>
      </w:r>
      <w:r>
        <w:rPr>
          <w:color w:val="000000"/>
          <w:sz w:val="20"/>
        </w:rPr>
        <w:t>      в случае сохранения условий, ведущих к рискам высокой степени необходимо рассмотреть вопрос о проведении государственного аудита по объекту государственного аудита.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директивные меры реагирования - устранение рисков путем проведения государственного аудита по объектам государственного аудита, имеющим высокую степень рисков и среднюю степень рисков (при наличии решения органов внутреннего государственного аудита на пров</w:t>
      </w:r>
      <w:r>
        <w:rPr>
          <w:color w:val="000000"/>
          <w:sz w:val="20"/>
        </w:rPr>
        <w:t>едение государственного аудита);</w:t>
      </w:r>
      <w:r>
        <w:br/>
      </w:r>
      <w:r>
        <w:rPr>
          <w:color w:val="000000"/>
          <w:sz w:val="20"/>
        </w:rPr>
        <w:t>      3) по объектам государственного аудита с низкой степенью рисков органы внутреннего государственного аудита осуществляют мониторинг рисков с целью своевременного обнаружения роста степени риска и принятия соответствующ</w:t>
      </w:r>
      <w:r>
        <w:rPr>
          <w:color w:val="000000"/>
          <w:sz w:val="20"/>
        </w:rPr>
        <w:t>их мер.</w:t>
      </w:r>
      <w:r>
        <w:br/>
      </w:r>
      <w:r>
        <w:rPr>
          <w:color w:val="000000"/>
          <w:sz w:val="20"/>
        </w:rPr>
        <w:t>      9. Мониторинг рисков представляет собой:</w:t>
      </w:r>
      <w:r>
        <w:br/>
      </w:r>
      <w:r>
        <w:rPr>
          <w:color w:val="000000"/>
          <w:sz w:val="20"/>
        </w:rPr>
        <w:t>      1) проведение на периодической основе мониторинга с целью установлений эффективности и актуальности определенных рисков или изменения степени рисков (выявление остаточного риска);</w:t>
      </w:r>
      <w:r>
        <w:br/>
      </w:r>
      <w:r>
        <w:rPr>
          <w:color w:val="000000"/>
          <w:sz w:val="20"/>
        </w:rPr>
        <w:t>      2) в случ</w:t>
      </w:r>
      <w:r>
        <w:rPr>
          <w:color w:val="000000"/>
          <w:sz w:val="20"/>
        </w:rPr>
        <w:t>ае установления не эффективности или не актуальности подтверждения риски исключаются.</w:t>
      </w:r>
      <w:r>
        <w:br/>
      </w:r>
      <w:r>
        <w:rPr>
          <w:color w:val="000000"/>
          <w:sz w:val="20"/>
        </w:rPr>
        <w:t>      Органом внутреннего государственного аудита на ежегодной основе проводится анализ корректности определения и оценки рисков, соответствия установленных процедур на и</w:t>
      </w:r>
      <w:r>
        <w:rPr>
          <w:color w:val="000000"/>
          <w:sz w:val="20"/>
        </w:rPr>
        <w:t>х исполнение.</w:t>
      </w:r>
      <w:r>
        <w:br/>
      </w:r>
      <w:r>
        <w:rPr>
          <w:color w:val="000000"/>
          <w:sz w:val="20"/>
        </w:rPr>
        <w:t>      Органом внутреннего государственного аудита на ежеквартальной основе проводится анализ эффективности реализации мероприятий в рамках превентивных мер реагирования.</w:t>
      </w:r>
    </w:p>
    <w:p w:rsidR="00DC6319" w:rsidRPr="00A65C32" w:rsidRDefault="00A65C32">
      <w:pPr>
        <w:spacing w:after="0"/>
        <w:rPr>
          <w:lang w:val="ru-RU"/>
        </w:rPr>
      </w:pPr>
      <w:bookmarkStart w:id="8" w:name="z39"/>
      <w:bookmarkEnd w:id="7"/>
      <w:r>
        <w:rPr>
          <w:b/>
          <w:color w:val="000000"/>
        </w:rPr>
        <w:t xml:space="preserve">   </w:t>
      </w:r>
      <w:r w:rsidRPr="00A65C32">
        <w:rPr>
          <w:b/>
          <w:color w:val="000000"/>
          <w:lang w:val="ru-RU"/>
        </w:rPr>
        <w:t>3. Формирование проекта перечня объектов государственного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аудита на с</w:t>
      </w:r>
      <w:r w:rsidRPr="00A65C32">
        <w:rPr>
          <w:b/>
          <w:color w:val="000000"/>
          <w:lang w:val="ru-RU"/>
        </w:rPr>
        <w:t>оответствующий год с использованием системы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управления рисками</w:t>
      </w:r>
    </w:p>
    <w:p w:rsidR="00DC6319" w:rsidRDefault="00A65C32">
      <w:pPr>
        <w:spacing w:after="0"/>
      </w:pPr>
      <w:bookmarkStart w:id="9" w:name="z40"/>
      <w:bookmarkEnd w:id="8"/>
      <w:r>
        <w:rPr>
          <w:color w:val="000000"/>
          <w:sz w:val="20"/>
        </w:rPr>
        <w:lastRenderedPageBreak/>
        <w:t>     </w:t>
      </w:r>
      <w:r w:rsidRPr="00A65C32">
        <w:rPr>
          <w:color w:val="000000"/>
          <w:sz w:val="20"/>
          <w:lang w:val="ru-RU"/>
        </w:rPr>
        <w:t xml:space="preserve"> 10. Формирование проекта перечня объектов государственного аудита осуществляется посредством отбора на основе оценки рисков системой управления рисками объектов и предметов государственно</w:t>
      </w:r>
      <w:r w:rsidRPr="00A65C32">
        <w:rPr>
          <w:color w:val="000000"/>
          <w:sz w:val="20"/>
          <w:lang w:val="ru-RU"/>
        </w:rPr>
        <w:t>го аудита с высоким и средним уровнями рисков.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Оценка объектов и предметов государственного аудита представляет собой определение итогового балла и уровня риска, рассчитанных на основе совокупности значений по каждому критерию риска.</w:t>
      </w:r>
      <w:r>
        <w:br/>
      </w:r>
      <w:r>
        <w:rPr>
          <w:color w:val="000000"/>
          <w:sz w:val="20"/>
        </w:rPr>
        <w:t>      12. Кр</w:t>
      </w:r>
      <w:r>
        <w:rPr>
          <w:color w:val="000000"/>
          <w:sz w:val="20"/>
        </w:rPr>
        <w:t>итерии рисков распределяются на интервалы, где каждому интервалу присваивается балл.</w:t>
      </w:r>
      <w:r>
        <w:br/>
      </w:r>
      <w:r>
        <w:rPr>
          <w:color w:val="000000"/>
          <w:sz w:val="20"/>
        </w:rPr>
        <w:t>      13. Органами внутреннего государственного аудита в зависимости от возложенных функций и полномочий разрабатываются критерии рисков на основе базовых критериев соглас</w:t>
      </w:r>
      <w:r>
        <w:rPr>
          <w:color w:val="000000"/>
          <w:sz w:val="20"/>
        </w:rPr>
        <w:t>но приложению 2 к настоящей Типовой системе.</w:t>
      </w:r>
      <w:r>
        <w:br/>
      </w:r>
      <w:r>
        <w:rPr>
          <w:color w:val="000000"/>
          <w:sz w:val="20"/>
        </w:rPr>
        <w:t>      При этом органами внутреннего государственного аудита при необходимости разрабатываются дополнительные критерии рисков объектов и предметов государственного аудита.</w:t>
      </w:r>
      <w:r>
        <w:br/>
      </w:r>
      <w:r>
        <w:rPr>
          <w:color w:val="000000"/>
          <w:sz w:val="20"/>
        </w:rPr>
        <w:t>      14. Разработанные критерии формиру</w:t>
      </w:r>
      <w:r>
        <w:rPr>
          <w:color w:val="000000"/>
          <w:sz w:val="20"/>
        </w:rPr>
        <w:t>ются в реестре рисков и утверждаются руководителем органа внутреннего государственного аудита.</w:t>
      </w:r>
      <w:r>
        <w:br/>
      </w:r>
      <w:r>
        <w:rPr>
          <w:color w:val="000000"/>
          <w:sz w:val="20"/>
        </w:rPr>
        <w:t xml:space="preserve">       15. Органы внутреннего государственного аудита на периодичной основе проводят мониторинг эффективности (актуализация) критериев риска, по результатам кото</w:t>
      </w:r>
      <w:r>
        <w:rPr>
          <w:color w:val="000000"/>
          <w:sz w:val="20"/>
        </w:rPr>
        <w:t xml:space="preserve">рого критерии исключаются либо изменяются путем внесения изменений и дополнений в реестр рисков. </w:t>
      </w:r>
    </w:p>
    <w:p w:rsidR="00DC6319" w:rsidRPr="00A65C32" w:rsidRDefault="00A65C32">
      <w:pPr>
        <w:spacing w:after="0"/>
        <w:rPr>
          <w:lang w:val="ru-RU"/>
        </w:rPr>
      </w:pPr>
      <w:bookmarkStart w:id="10" w:name="z46"/>
      <w:bookmarkEnd w:id="9"/>
      <w:r>
        <w:rPr>
          <w:b/>
          <w:color w:val="000000"/>
        </w:rPr>
        <w:t xml:space="preserve">   </w:t>
      </w:r>
      <w:r w:rsidRPr="00A65C32">
        <w:rPr>
          <w:b/>
          <w:color w:val="000000"/>
          <w:lang w:val="ru-RU"/>
        </w:rPr>
        <w:t>4. Использование системы управления рисками на основе профилей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рисков немедленного реагирования по иным направлениям</w:t>
      </w:r>
      <w:r w:rsidRPr="00A65C32">
        <w:rPr>
          <w:lang w:val="ru-RU"/>
        </w:rPr>
        <w:br/>
      </w:r>
      <w:r w:rsidRPr="00A65C32">
        <w:rPr>
          <w:b/>
          <w:color w:val="000000"/>
          <w:lang w:val="ru-RU"/>
        </w:rPr>
        <w:t>деятельности органов внутреннего госуд</w:t>
      </w:r>
      <w:r w:rsidRPr="00A65C32">
        <w:rPr>
          <w:b/>
          <w:color w:val="000000"/>
          <w:lang w:val="ru-RU"/>
        </w:rPr>
        <w:t>арственного аудита</w:t>
      </w:r>
    </w:p>
    <w:p w:rsidR="00DC6319" w:rsidRDefault="00A65C32">
      <w:pPr>
        <w:spacing w:after="0"/>
      </w:pPr>
      <w:bookmarkStart w:id="11" w:name="z47"/>
      <w:bookmarkEnd w:id="10"/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16. Профиль риска немедленного реагирования (далее - Профиль) является инструментом для своевременного пресечения и недопущения нарушений объектами государственного аудита, в том числе с использованием автоматизированных информацио</w:t>
      </w:r>
      <w:r w:rsidRPr="00A65C32">
        <w:rPr>
          <w:color w:val="000000"/>
          <w:sz w:val="20"/>
          <w:lang w:val="ru-RU"/>
        </w:rPr>
        <w:t>нных систем, результаты которых носят предупредительно-профилактический характер.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17. Система управления рисками на основе профилей рисков немедленного реагирования используется также при проведении камерального контроля.</w:t>
      </w:r>
      <w:r>
        <w:br/>
      </w:r>
      <w:r>
        <w:rPr>
          <w:color w:val="000000"/>
          <w:sz w:val="20"/>
        </w:rPr>
        <w:t xml:space="preserve">      </w:t>
      </w:r>
      <w:r w:rsidRPr="00A65C32">
        <w:rPr>
          <w:color w:val="000000"/>
          <w:sz w:val="20"/>
          <w:lang w:val="ru-RU"/>
        </w:rPr>
        <w:t>18. Для создания профи</w:t>
      </w:r>
      <w:r w:rsidRPr="00A65C32">
        <w:rPr>
          <w:color w:val="000000"/>
          <w:sz w:val="20"/>
          <w:lang w:val="ru-RU"/>
        </w:rPr>
        <w:t>ля необходимо сформировать перечень рисков и нарушений. Профиль разрабатывается под определенный риск/нарушение с определением набора условий выбора данных для формирования перечня объектов государственного аудита.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19. Разработка профиля включает в с</w:t>
      </w:r>
      <w:r>
        <w:rPr>
          <w:color w:val="000000"/>
          <w:sz w:val="20"/>
        </w:rPr>
        <w:t>ебя изучение, анализ и сопоставление данных о деятельности объектов государственного аудита, в том числе данных из информационных систем, результатов государственного аудита и финансового контроля.</w:t>
      </w:r>
      <w:r>
        <w:br/>
      </w:r>
      <w:r>
        <w:rPr>
          <w:color w:val="000000"/>
          <w:sz w:val="20"/>
        </w:rPr>
        <w:t>      20. Разработанные профили формируются в реестре проф</w:t>
      </w:r>
      <w:r>
        <w:rPr>
          <w:color w:val="000000"/>
          <w:sz w:val="20"/>
        </w:rPr>
        <w:t>илей рисков, который содержит порядковый номер, наименование профиля, дата, описание риска/нарушения и другие сведения и утверждаются руководителем органа внутреннего государственного аудита.</w:t>
      </w:r>
      <w:r>
        <w:br/>
      </w:r>
      <w:r>
        <w:rPr>
          <w:color w:val="000000"/>
          <w:sz w:val="20"/>
        </w:rPr>
        <w:t>      21. Органы внутреннего государственного аудита проверяют р</w:t>
      </w:r>
      <w:r>
        <w:rPr>
          <w:color w:val="000000"/>
          <w:sz w:val="20"/>
        </w:rPr>
        <w:t>езультаты сработанных профилей на достоверность (риск/нарушения подтвержден/не подтвержден).</w:t>
      </w:r>
      <w:r>
        <w:br/>
      </w:r>
      <w:r>
        <w:rPr>
          <w:color w:val="000000"/>
          <w:sz w:val="20"/>
        </w:rPr>
        <w:t xml:space="preserve">      </w:t>
      </w:r>
      <w:r w:rsidRPr="00A65C32">
        <w:rPr>
          <w:color w:val="000000"/>
          <w:sz w:val="20"/>
          <w:lang w:val="ru-RU"/>
        </w:rPr>
        <w:t>22. В случае если риски/нарушения подтверждены, органами внутреннего государственного аудита принимается решение о применении соответствующих мер реагировани</w:t>
      </w:r>
      <w:r w:rsidRPr="00A65C32">
        <w:rPr>
          <w:color w:val="000000"/>
          <w:sz w:val="20"/>
          <w:lang w:val="ru-RU"/>
        </w:rPr>
        <w:t>я к объекту государственного аудита: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проведение государственного аудита, в том числе внепланового;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направление писем, уведомлений об устранении рисков/нарушений и (или) о рассмотрении ответственности исполнителя, о принятии мер по недопущению в</w:t>
      </w:r>
      <w:r w:rsidRPr="00A65C32">
        <w:rPr>
          <w:color w:val="000000"/>
          <w:sz w:val="20"/>
          <w:lang w:val="ru-RU"/>
        </w:rPr>
        <w:t>предь и другое;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направление сведений о рисках/нарушениях в другие компетентные органы.</w:t>
      </w:r>
      <w:r w:rsidRPr="00A65C32">
        <w:rPr>
          <w:lang w:val="ru-RU"/>
        </w:rPr>
        <w:br/>
      </w:r>
      <w:r>
        <w:rPr>
          <w:color w:val="000000"/>
          <w:sz w:val="20"/>
        </w:rPr>
        <w:t>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23. Органами внутреннего государственного аудита на периодичной основе проводится мониторинг эффективности (актуализация) профилей рисков немедленного реагир</w:t>
      </w:r>
      <w:r>
        <w:rPr>
          <w:color w:val="000000"/>
          <w:sz w:val="20"/>
        </w:rPr>
        <w:t>ования, по результатам которого профиль исключается либо измененяется путем внесения изменений и дополнений в реестр профилей рисков.</w:t>
      </w:r>
    </w:p>
    <w:p w:rsidR="00DC6319" w:rsidRPr="00A65C32" w:rsidRDefault="00A65C32">
      <w:pPr>
        <w:spacing w:after="0"/>
        <w:jc w:val="right"/>
        <w:rPr>
          <w:lang w:val="ru-RU"/>
        </w:rPr>
      </w:pPr>
      <w:bookmarkStart w:id="12" w:name="z55"/>
      <w:bookmarkEnd w:id="11"/>
      <w:r>
        <w:rPr>
          <w:color w:val="000000"/>
          <w:sz w:val="20"/>
        </w:rPr>
        <w:lastRenderedPageBreak/>
        <w:t xml:space="preserve">  </w:t>
      </w:r>
      <w:r w:rsidRPr="00A65C32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к типовой системе управления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рисками, которая применяется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при формировании перечня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объектов </w:t>
      </w:r>
      <w:r w:rsidRPr="00A65C32">
        <w:rPr>
          <w:color w:val="000000"/>
          <w:sz w:val="20"/>
          <w:lang w:val="ru-RU"/>
        </w:rPr>
        <w:t>государственного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>аудита и финансового контроля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на соответствующий год и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проведении внутреннего</w:t>
      </w:r>
      <w:r>
        <w:rPr>
          <w:color w:val="000000"/>
          <w:sz w:val="20"/>
        </w:rPr>
        <w:t>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государственного аудита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</w:p>
    <w:p w:rsidR="00DC6319" w:rsidRDefault="00A65C32">
      <w:pPr>
        <w:spacing w:after="0"/>
      </w:pPr>
      <w:bookmarkStart w:id="13" w:name="z57"/>
      <w:bookmarkEnd w:id="12"/>
      <w:r>
        <w:rPr>
          <w:color w:val="000000"/>
          <w:sz w:val="20"/>
        </w:rPr>
        <w:t>                  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   </w:t>
      </w:r>
      <w:r w:rsidRPr="00A65C32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Матрица рисков</w:t>
      </w:r>
    </w:p>
    <w:bookmarkEnd w:id="13"/>
    <w:p w:rsidR="00DC6319" w:rsidRDefault="00A65C3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8902700" cy="664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27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19" w:rsidRPr="00A65C32" w:rsidRDefault="00A65C32">
      <w:pPr>
        <w:spacing w:after="0"/>
        <w:jc w:val="right"/>
        <w:rPr>
          <w:lang w:val="ru-RU"/>
        </w:rPr>
      </w:pPr>
      <w:bookmarkStart w:id="14" w:name="z56"/>
      <w:r>
        <w:rPr>
          <w:color w:val="000000"/>
          <w:sz w:val="20"/>
        </w:rPr>
        <w:t xml:space="preserve">  </w:t>
      </w:r>
      <w:r w:rsidRPr="00A65C32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к типовой системе управления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lastRenderedPageBreak/>
        <w:t xml:space="preserve"> </w:t>
      </w:r>
      <w:r w:rsidRPr="00A65C32">
        <w:rPr>
          <w:color w:val="000000"/>
          <w:sz w:val="20"/>
          <w:lang w:val="ru-RU"/>
        </w:rPr>
        <w:t xml:space="preserve">рисками, которая применяется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при формировании перечня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объектов государственного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>аудита и финансового контроля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на соответствующий год и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проведении внутреннего</w:t>
      </w:r>
      <w:r>
        <w:rPr>
          <w:color w:val="000000"/>
          <w:sz w:val="20"/>
        </w:rPr>
        <w:t>  </w:t>
      </w:r>
      <w:r w:rsidRPr="00A65C32">
        <w:rPr>
          <w:color w:val="000000"/>
          <w:sz w:val="20"/>
          <w:lang w:val="ru-RU"/>
        </w:rPr>
        <w:t xml:space="preserve"> </w:t>
      </w:r>
      <w:r w:rsidRPr="00A65C32">
        <w:rPr>
          <w:lang w:val="ru-RU"/>
        </w:rPr>
        <w:br/>
      </w:r>
      <w:r w:rsidRPr="00A65C32">
        <w:rPr>
          <w:color w:val="000000"/>
          <w:sz w:val="20"/>
          <w:lang w:val="ru-RU"/>
        </w:rPr>
        <w:t xml:space="preserve"> государственного аудита</w:t>
      </w:r>
      <w:r>
        <w:rPr>
          <w:color w:val="000000"/>
          <w:sz w:val="20"/>
        </w:rPr>
        <w:t> </w:t>
      </w:r>
      <w:r w:rsidRPr="00A65C32">
        <w:rPr>
          <w:color w:val="000000"/>
          <w:sz w:val="20"/>
          <w:lang w:val="ru-RU"/>
        </w:rPr>
        <w:t xml:space="preserve"> </w:t>
      </w:r>
    </w:p>
    <w:p w:rsidR="00DC6319" w:rsidRDefault="00A65C32">
      <w:pPr>
        <w:spacing w:after="0"/>
      </w:pPr>
      <w:bookmarkStart w:id="15" w:name="z58"/>
      <w:bookmarkEnd w:id="14"/>
      <w:r>
        <w:rPr>
          <w:color w:val="000000"/>
          <w:sz w:val="20"/>
        </w:rPr>
        <w:t>                  </w:t>
      </w:r>
      <w:r w:rsidRPr="00A65C3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65C32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Базовые критерии рисков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DC6319">
        <w:trPr>
          <w:trHeight w:val="15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DC6319" w:rsidRDefault="00A65C3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КРИТЕРИИ ПО </w:t>
            </w:r>
            <w:r>
              <w:rPr>
                <w:b/>
                <w:color w:val="000000"/>
                <w:sz w:val="20"/>
              </w:rPr>
              <w:t>АБП</w:t>
            </w:r>
          </w:p>
        </w:tc>
      </w:tr>
      <w:tr w:rsidR="00DC6319">
        <w:trPr>
          <w:trHeight w:val="30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</w:tr>
      <w:tr w:rsidR="00DC6319" w:rsidRPr="00A65C32">
        <w:trPr>
          <w:trHeight w:val="25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недостигнутых целевых индикаторов от общего количества, в %</w:t>
            </w:r>
          </w:p>
        </w:tc>
      </w:tr>
      <w:tr w:rsidR="00DC6319" w:rsidRPr="00A65C32">
        <w:trPr>
          <w:trHeight w:val="27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невыполненных мероприятий от общего количества, в %</w:t>
            </w:r>
          </w:p>
        </w:tc>
      </w:tr>
      <w:tr w:rsidR="00DC6319" w:rsidRPr="00A65C32">
        <w:trPr>
          <w:trHeight w:val="4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</w:tr>
      <w:tr w:rsidR="00DC6319" w:rsidRPr="00A65C32">
        <w:trPr>
          <w:trHeight w:val="39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</w:tr>
      <w:tr w:rsidR="00DC6319" w:rsidRPr="00A65C32">
        <w:trPr>
          <w:trHeight w:val="1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Частота внесенных изменений и дополнений в стратегический план, количество</w:t>
            </w:r>
          </w:p>
        </w:tc>
      </w:tr>
      <w:tr w:rsidR="00DC6319" w:rsidRPr="00A65C32">
        <w:trPr>
          <w:trHeight w:val="24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Годовой объем финансирования государственного органа, млн. тенге*</w:t>
            </w:r>
          </w:p>
        </w:tc>
      </w:tr>
      <w:tr w:rsidR="00DC6319" w:rsidRPr="00A65C32">
        <w:trPr>
          <w:trHeight w:val="3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 w:rsidR="00DC6319" w:rsidRPr="00A65C32">
        <w:trPr>
          <w:trHeight w:val="15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Рост/снижение объемов финансирования по сравнению с прошлым периодом,</w:t>
            </w:r>
            <w:r w:rsidRPr="00A65C32">
              <w:rPr>
                <w:color w:val="000000"/>
                <w:sz w:val="20"/>
                <w:lang w:val="ru-RU"/>
              </w:rPr>
              <w:t xml:space="preserve"> в %</w:t>
            </w:r>
          </w:p>
        </w:tc>
      </w:tr>
      <w:tr w:rsidR="00DC6319" w:rsidRPr="00A65C32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Освоение бюджетных средств на конец периода, в %</w:t>
            </w:r>
          </w:p>
        </w:tc>
      </w:tr>
      <w:tr w:rsidR="00DC6319" w:rsidRPr="00A65C32">
        <w:trPr>
          <w:trHeight w:val="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Количество бюджетных инвестиционных проектов, реализуемых данным госорганом, ед.</w:t>
            </w:r>
          </w:p>
        </w:tc>
      </w:tr>
      <w:tr w:rsidR="00DC6319" w:rsidRPr="00A65C32">
        <w:trPr>
          <w:trHeight w:val="4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финансовых нарушений, выявленных предыдущим контролем к объему расходов соответствующего периода, в %</w:t>
            </w:r>
          </w:p>
        </w:tc>
      </w:tr>
      <w:tr w:rsidR="00DC6319" w:rsidRPr="00A65C32">
        <w:trPr>
          <w:trHeight w:val="16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Рост </w:t>
            </w:r>
            <w:r w:rsidRPr="00A65C32">
              <w:rPr>
                <w:color w:val="000000"/>
                <w:sz w:val="20"/>
                <w:lang w:val="ru-RU"/>
              </w:rPr>
              <w:t>объемов дебиторской задолженности по сравнению с прошлым периодом, в %</w:t>
            </w:r>
          </w:p>
        </w:tc>
      </w:tr>
      <w:tr w:rsidR="00DC6319" w:rsidRPr="00A65C32">
        <w:trPr>
          <w:trHeight w:val="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Дата проведения последней комплексной проверки, год</w:t>
            </w:r>
          </w:p>
        </w:tc>
      </w:tr>
      <w:tr w:rsidR="00DC6319" w:rsidRPr="00A65C32">
        <w:trPr>
          <w:trHeight w:val="1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Количество бюджетных программ, осуществляемых за счет резерва Правительства, ед.</w:t>
            </w:r>
          </w:p>
        </w:tc>
      </w:tr>
      <w:tr w:rsidR="00DC6319" w:rsidRPr="00A65C32">
        <w:trPr>
          <w:trHeight w:val="16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Результаты оценки эффективности управления </w:t>
            </w:r>
            <w:r w:rsidRPr="00A65C32">
              <w:rPr>
                <w:color w:val="000000"/>
                <w:sz w:val="20"/>
                <w:lang w:val="ru-RU"/>
              </w:rPr>
              <w:t>бюджетными средствами, баллы</w:t>
            </w:r>
          </w:p>
        </w:tc>
      </w:tr>
      <w:tr w:rsidR="00DC6319" w:rsidRPr="00A65C32">
        <w:trPr>
          <w:trHeight w:val="21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соответствующих заключении СВА стандартам ГФК, %</w:t>
            </w:r>
          </w:p>
        </w:tc>
      </w:tr>
      <w:tr w:rsidR="00DC6319" w:rsidRPr="00A65C32">
        <w:trPr>
          <w:trHeight w:val="39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Наличие фактов передачи в правоохранительные органы по итогам контрольных мероприятий, с возбуждением уголовных дел, за последние 2 года %</w:t>
            </w:r>
          </w:p>
        </w:tc>
      </w:tr>
      <w:tr w:rsidR="00DC6319" w:rsidRPr="00A65C32">
        <w:trPr>
          <w:trHeight w:val="4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Наличие подтвержденных фактов </w:t>
            </w:r>
            <w:r w:rsidRPr="00A65C32">
              <w:rPr>
                <w:color w:val="000000"/>
                <w:sz w:val="20"/>
                <w:lang w:val="ru-RU"/>
              </w:rPr>
              <w:t>по результатам контрольных мероприятий осуществленных по постановлениям правоохранительных органов, %</w:t>
            </w:r>
          </w:p>
        </w:tc>
      </w:tr>
      <w:tr w:rsidR="00DC6319" w:rsidRPr="00A65C32">
        <w:trPr>
          <w:trHeight w:val="4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Выявленные случаи несоответствия Стандартам государственного финансового контроля Службами внутреннего аудита ЦГО и МИО материалов контроля</w:t>
            </w:r>
          </w:p>
        </w:tc>
      </w:tr>
      <w:tr w:rsidR="00DC6319" w:rsidRPr="00A65C32">
        <w:trPr>
          <w:trHeight w:val="3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Наличие </w:t>
            </w:r>
            <w:r w:rsidRPr="00A65C32">
              <w:rPr>
                <w:color w:val="000000"/>
                <w:sz w:val="20"/>
                <w:lang w:val="ru-RU"/>
              </w:rPr>
              <w:t>заключенных договоров АБП и его подведомственных организаций с поставщиками, включенными в реестр недобросовестных поставщиков</w:t>
            </w:r>
          </w:p>
        </w:tc>
      </w:tr>
      <w:tr w:rsidR="00DC6319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КРИТЕРИИ ПО ГУ</w:t>
            </w:r>
          </w:p>
        </w:tc>
      </w:tr>
      <w:tr w:rsidR="00DC6319" w:rsidRPr="00A65C32">
        <w:trPr>
          <w:trHeight w:val="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Количество бюджетных программ, реализуемых государственным учреждением, ед.</w:t>
            </w:r>
          </w:p>
        </w:tc>
      </w:tr>
      <w:tr w:rsidR="00DC6319" w:rsidRPr="00A65C32">
        <w:trPr>
          <w:trHeight w:val="1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Годовой объем финансирования </w:t>
            </w:r>
            <w:r w:rsidRPr="00A65C32">
              <w:rPr>
                <w:color w:val="000000"/>
                <w:sz w:val="20"/>
                <w:lang w:val="ru-RU"/>
              </w:rPr>
              <w:t>государственного органа, млн. тенге*</w:t>
            </w:r>
          </w:p>
        </w:tc>
      </w:tr>
      <w:tr w:rsidR="00DC6319" w:rsidRPr="00A65C32">
        <w:trPr>
          <w:trHeight w:val="30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 w:rsidR="00DC6319" w:rsidRPr="00A65C32">
        <w:trPr>
          <w:trHeight w:val="27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lastRenderedPageBreak/>
              <w:t>Рост/снижение объемов финансирования по сравнению с прошлым периодом, в %</w:t>
            </w:r>
          </w:p>
        </w:tc>
      </w:tr>
      <w:tr w:rsidR="00DC6319" w:rsidRPr="00A65C32">
        <w:trPr>
          <w:trHeight w:val="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Освоение бюджетных </w:t>
            </w:r>
            <w:r w:rsidRPr="00A65C32">
              <w:rPr>
                <w:color w:val="000000"/>
                <w:sz w:val="20"/>
                <w:lang w:val="ru-RU"/>
              </w:rPr>
              <w:t>средств на конец периода, в %</w:t>
            </w:r>
          </w:p>
        </w:tc>
      </w:tr>
      <w:tr w:rsidR="00DC6319" w:rsidRPr="00A65C32">
        <w:trPr>
          <w:trHeight w:val="30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Масштабы финансовых нарушений, выявленных предыдущим контролем к объему расходов соответствующего периода, в %</w:t>
            </w:r>
          </w:p>
        </w:tc>
      </w:tr>
      <w:tr w:rsidR="00DC6319" w:rsidRPr="00A65C32">
        <w:trPr>
          <w:trHeight w:val="21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Рост объемов дебиторской задолженности по сравнению с прошлым периодом,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Дата проведения последней </w:t>
            </w:r>
            <w:r w:rsidRPr="00A65C32">
              <w:rPr>
                <w:color w:val="000000"/>
                <w:sz w:val="20"/>
                <w:lang w:val="ru-RU"/>
              </w:rPr>
              <w:t>комплексной проверки, год</w:t>
            </w:r>
          </w:p>
        </w:tc>
      </w:tr>
      <w:tr w:rsidR="00DC6319" w:rsidRPr="00A65C32">
        <w:trPr>
          <w:trHeight w:val="4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Наличие фактов передачи в правоохранительные органы по итогам контрольных мерпориятий, с возбуждением уголовных дел, за последние 2 года %</w:t>
            </w:r>
          </w:p>
        </w:tc>
      </w:tr>
      <w:tr w:rsidR="00DC6319" w:rsidRPr="00A65C32">
        <w:trPr>
          <w:trHeight w:val="4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Наличие подтвержденных фактов по результатам контрольных мероприятий осуществленных по </w:t>
            </w:r>
            <w:r w:rsidRPr="00A65C32">
              <w:rPr>
                <w:color w:val="000000"/>
                <w:sz w:val="20"/>
                <w:lang w:val="ru-RU"/>
              </w:rPr>
              <w:t>постановлениям правоохранительных органов, %</w:t>
            </w:r>
          </w:p>
        </w:tc>
      </w:tr>
      <w:tr w:rsidR="00DC6319" w:rsidRPr="00A65C32">
        <w:trPr>
          <w:trHeight w:val="27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нарушений соблюдения законодательства о государственных закупках, повлекших административную ответственность, к количеству процедур ГЗ, охваченных контролем</w:t>
            </w:r>
          </w:p>
        </w:tc>
      </w:tr>
      <w:tr w:rsidR="00DC6319">
        <w:trPr>
          <w:trHeight w:val="22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Приоритетные бюджетные программы региона</w:t>
            </w:r>
          </w:p>
        </w:tc>
      </w:tr>
      <w:tr w:rsidR="00DC6319">
        <w:trPr>
          <w:trHeight w:val="13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Реализуемые инвестиционные проекты региона</w:t>
            </w:r>
          </w:p>
        </w:tc>
      </w:tr>
      <w:tr w:rsidR="00DC6319" w:rsidRPr="00A65C32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Контрольные счета наличности от реализации платных услуг ГУ</w:t>
            </w:r>
          </w:p>
        </w:tc>
      </w:tr>
      <w:tr w:rsidR="00DC6319" w:rsidRPr="00A65C32">
        <w:trPr>
          <w:trHeight w:val="1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Контрольные счета наличности временного размещения денег</w:t>
            </w:r>
          </w:p>
        </w:tc>
      </w:tr>
      <w:tr w:rsidR="00DC6319" w:rsidRPr="00A65C32">
        <w:trPr>
          <w:trHeight w:val="1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Контрольные счета наличности спонсорской и благотворительной помощи</w:t>
            </w:r>
          </w:p>
        </w:tc>
      </w:tr>
      <w:tr w:rsidR="00DC6319" w:rsidRPr="00A65C32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Регистрация обязательств</w:t>
            </w:r>
            <w:r w:rsidRPr="00A65C32">
              <w:rPr>
                <w:color w:val="000000"/>
                <w:sz w:val="20"/>
                <w:lang w:val="ru-RU"/>
              </w:rPr>
              <w:t xml:space="preserve"> по капитальным расходам млн.тнг</w:t>
            </w:r>
          </w:p>
        </w:tc>
      </w:tr>
      <w:tr w:rsidR="00DC6319" w:rsidRPr="00A65C32">
        <w:trPr>
          <w:trHeight w:val="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Регистрация договоров гражданско-правовой ответственности со сроком исполнения менее 15 дней</w:t>
            </w:r>
          </w:p>
        </w:tc>
      </w:tr>
      <w:tr w:rsidR="00DC6319" w:rsidRPr="00A65C32">
        <w:trPr>
          <w:trHeight w:val="30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Регистрация договоров по выполнению работа со сроком исполнения менее предусмотренных сроков чем в ПСД</w:t>
            </w:r>
          </w:p>
        </w:tc>
      </w:tr>
      <w:tr w:rsidR="00DC6319">
        <w:trPr>
          <w:trHeight w:val="19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КРИТЕРИИ ПО СУБЪЕКТАМ </w:t>
            </w:r>
            <w:r>
              <w:rPr>
                <w:b/>
                <w:color w:val="000000"/>
                <w:sz w:val="20"/>
              </w:rPr>
              <w:t>КВАЗИСЕКТОРА</w:t>
            </w:r>
          </w:p>
        </w:tc>
      </w:tr>
      <w:tr w:rsidR="00DC6319" w:rsidRPr="00A65C32">
        <w:trPr>
          <w:trHeight w:val="15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Рост/снижение размера уставного капитала,в %</w:t>
            </w:r>
          </w:p>
        </w:tc>
      </w:tr>
      <w:tr w:rsidR="00DC6319" w:rsidRPr="00A65C32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Наличие дочерних и ассоциированных организаций, в единицах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административных расходов от общего объема расходов, в %</w:t>
            </w:r>
          </w:p>
        </w:tc>
      </w:tr>
      <w:tr w:rsidR="00DC6319" w:rsidRPr="00A65C32">
        <w:trPr>
          <w:trHeight w:val="1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Дата проведения последней проверки, год</w:t>
            </w:r>
          </w:p>
        </w:tc>
      </w:tr>
      <w:tr w:rsidR="00DC6319" w:rsidRPr="00A65C32">
        <w:trPr>
          <w:trHeight w:val="15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Несвоевременная сдача финансовой</w:t>
            </w:r>
            <w:r w:rsidRPr="00A65C32">
              <w:rPr>
                <w:color w:val="000000"/>
                <w:sz w:val="20"/>
                <w:lang w:val="ru-RU"/>
              </w:rPr>
              <w:t xml:space="preserve"> отчетности, в %</w:t>
            </w:r>
          </w:p>
        </w:tc>
      </w:tr>
      <w:tr w:rsidR="00DC6319" w:rsidRPr="00A65C32">
        <w:trPr>
          <w:trHeight w:val="9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Наличие нарушений составления ФО по результатам мониторинга, в %</w:t>
            </w:r>
          </w:p>
        </w:tc>
      </w:tr>
      <w:tr w:rsidR="00DC6319" w:rsidRPr="00A65C32">
        <w:trPr>
          <w:trHeight w:val="13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Объем финансирования, в том числе по госзаказу за последние 2 года (в 100 % от заказа объема)</w:t>
            </w:r>
          </w:p>
        </w:tc>
      </w:tr>
      <w:tr w:rsidR="00DC6319" w:rsidRPr="00A65C32">
        <w:trPr>
          <w:trHeight w:val="37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Недостачи товарно-материальных ценностей и денежные средства по итогам </w:t>
            </w:r>
            <w:r w:rsidRPr="00A65C32">
              <w:rPr>
                <w:color w:val="000000"/>
                <w:sz w:val="20"/>
                <w:lang w:val="ru-RU"/>
              </w:rPr>
              <w:t>предыдущих проверок за последние 2 года (в 2 % от общей суммы выявленных финансовых нарушений)</w:t>
            </w:r>
          </w:p>
        </w:tc>
      </w:tr>
      <w:tr w:rsidR="00DC6319" w:rsidRPr="00A65C32">
        <w:trPr>
          <w:trHeight w:val="25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Отражение в бухгалтерской отчетности убытков на протяжении нескольких финансовых периодов</w:t>
            </w:r>
          </w:p>
        </w:tc>
      </w:tr>
      <w:tr w:rsidR="00DC6319" w:rsidRPr="00A65C32">
        <w:trPr>
          <w:trHeight w:val="15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Масштабы выявленных финансовых нарушений по итогам предыдущих </w:t>
            </w:r>
            <w:r w:rsidRPr="00A65C32">
              <w:rPr>
                <w:color w:val="000000"/>
                <w:sz w:val="20"/>
                <w:lang w:val="ru-RU"/>
              </w:rPr>
              <w:t>проверок за последние 2 года</w:t>
            </w:r>
          </w:p>
        </w:tc>
      </w:tr>
      <w:tr w:rsidR="00DC6319" w:rsidRPr="00A65C32">
        <w:trPr>
          <w:trHeight w:val="3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нарушений соблюдения законодательства о государственных закупках, повлекших административную ответственность, к количеству процедур ГЗ, охваченных контролем</w:t>
            </w:r>
          </w:p>
        </w:tc>
      </w:tr>
      <w:tr w:rsidR="00DC6319">
        <w:trPr>
          <w:trHeight w:val="28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КРИТЕРИИ ПО ГОСПРОГРАММАМ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Доля недостигнутых целевых </w:t>
            </w:r>
            <w:r w:rsidRPr="00A65C32">
              <w:rPr>
                <w:color w:val="000000"/>
                <w:sz w:val="20"/>
                <w:lang w:val="ru-RU"/>
              </w:rPr>
              <w:t>индикаторов от общего количества, в %</w:t>
            </w:r>
          </w:p>
        </w:tc>
      </w:tr>
      <w:tr w:rsidR="00DC6319" w:rsidRPr="00A65C32">
        <w:trPr>
          <w:trHeight w:val="9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невыполненных мероприятий от общего количества, в %</w:t>
            </w:r>
          </w:p>
        </w:tc>
      </w:tr>
      <w:tr w:rsidR="00DC6319" w:rsidRPr="00A65C32">
        <w:trPr>
          <w:trHeight w:val="4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Доля показателей прямого результата бюджетных программ, недостигших значений, предусмотренных в первоначально утвержденном стратегическом плане, от общего </w:t>
            </w:r>
            <w:r w:rsidRPr="00A65C32">
              <w:rPr>
                <w:color w:val="000000"/>
                <w:sz w:val="20"/>
                <w:lang w:val="ru-RU"/>
              </w:rPr>
              <w:lastRenderedPageBreak/>
              <w:t xml:space="preserve">количества, в % </w:t>
            </w:r>
          </w:p>
        </w:tc>
      </w:tr>
      <w:tr w:rsidR="00DC6319" w:rsidRPr="00A65C32">
        <w:trPr>
          <w:trHeight w:val="3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lastRenderedPageBreak/>
              <w:t xml:space="preserve">Доля показателей конечного результата бюджетных программ, недостигших значений, предусмотренных в первоначально утвержденном стратегическом плане, от общего количества, в % </w:t>
            </w:r>
          </w:p>
        </w:tc>
      </w:tr>
      <w:tr w:rsidR="00DC6319" w:rsidRPr="00A65C32">
        <w:trPr>
          <w:trHeight w:val="1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Частота внесенных изменений и дополнений в стратегический план, количество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Освоение бюджетных средств на конец периода,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выявленных финансовых нарушений за последние 2 года,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Количество лиц, привлеченных к административной ответственности согласно КоАП за последние 2 года</w:t>
            </w:r>
          </w:p>
        </w:tc>
      </w:tr>
      <w:tr w:rsidR="00DC6319" w:rsidRPr="00A65C32">
        <w:trPr>
          <w:trHeight w:val="40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Масштабы выявленных нарушений законодательства</w:t>
            </w:r>
            <w:r w:rsidRPr="00A65C32">
              <w:rPr>
                <w:color w:val="000000"/>
                <w:sz w:val="20"/>
                <w:lang w:val="ru-RU"/>
              </w:rPr>
              <w:t xml:space="preserve"> о государственных закупках, влияющих на итоги государственных закупок, выявленных предыдущим контролем.</w:t>
            </w:r>
          </w:p>
        </w:tc>
      </w:tr>
      <w:tr w:rsidR="00DC6319">
        <w:trPr>
          <w:trHeight w:val="12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Default="00A65C3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КРИТЕРИИ ПО БЮДЖЕТНЫМ ПРОГРАММАМ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Освоение бюджетных средств на конец периода,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 xml:space="preserve">Рост объемов дебиторской задолженности по сравнению с прошлым </w:t>
            </w:r>
            <w:r w:rsidRPr="00A65C32">
              <w:rPr>
                <w:color w:val="000000"/>
                <w:sz w:val="20"/>
                <w:lang w:val="ru-RU"/>
              </w:rPr>
              <w:t>периодом,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выявленных финансовых нарушений за последние 2 года, %</w:t>
            </w:r>
          </w:p>
        </w:tc>
      </w:tr>
      <w:tr w:rsidR="00DC6319" w:rsidRPr="00A65C32">
        <w:trPr>
          <w:trHeight w:val="25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Доля бюджетных средств, охваченных контролем от общего объема бюджетных средств, выделенных за последние два года,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Масштабы финансовых нарушений, выявленных предыдущим контрол</w:t>
            </w:r>
            <w:r w:rsidRPr="00A65C32">
              <w:rPr>
                <w:color w:val="000000"/>
                <w:sz w:val="20"/>
                <w:lang w:val="ru-RU"/>
              </w:rPr>
              <w:t>ем к объему расходов соответствующего периода, в %</w:t>
            </w:r>
          </w:p>
        </w:tc>
      </w:tr>
      <w:tr w:rsidR="00DC6319" w:rsidRPr="00A65C32">
        <w:trPr>
          <w:trHeight w:val="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6319" w:rsidRPr="00A65C32" w:rsidRDefault="00A65C32">
            <w:pPr>
              <w:spacing w:after="20"/>
              <w:ind w:left="20"/>
              <w:rPr>
                <w:lang w:val="ru-RU"/>
              </w:rPr>
            </w:pPr>
            <w:r w:rsidRPr="00A65C32">
              <w:rPr>
                <w:color w:val="000000"/>
                <w:sz w:val="20"/>
                <w:lang w:val="ru-RU"/>
              </w:rPr>
              <w:t>Дата проведения последней комплексной проверки, год</w:t>
            </w:r>
          </w:p>
        </w:tc>
      </w:tr>
    </w:tbl>
    <w:p w:rsidR="00DC6319" w:rsidRPr="00A65C32" w:rsidRDefault="00A65C32">
      <w:pPr>
        <w:spacing w:after="0"/>
        <w:rPr>
          <w:lang w:val="ru-RU"/>
        </w:rPr>
      </w:pPr>
      <w:r w:rsidRPr="00A65C32">
        <w:rPr>
          <w:lang w:val="ru-RU"/>
        </w:rPr>
        <w:br/>
      </w:r>
      <w:r w:rsidRPr="00A65C32">
        <w:rPr>
          <w:lang w:val="ru-RU"/>
        </w:rPr>
        <w:br/>
      </w:r>
    </w:p>
    <w:p w:rsidR="00DC6319" w:rsidRPr="00A65C32" w:rsidRDefault="00A65C32">
      <w:pPr>
        <w:pStyle w:val="disclaimer"/>
        <w:rPr>
          <w:lang w:val="ru-RU"/>
        </w:rPr>
      </w:pPr>
      <w:r w:rsidRPr="00A65C3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C6319" w:rsidRPr="00A65C3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9"/>
    <w:rsid w:val="00A65C32"/>
    <w:rsid w:val="00D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AA34-37CE-4DE1-BD8F-C8EFF7B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2017-01-16T14:07:00Z</dcterms:created>
  <dcterms:modified xsi:type="dcterms:W3CDTF">2017-01-16T14:07:00Z</dcterms:modified>
</cp:coreProperties>
</file>