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F" w:rsidRDefault="00080EC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95F" w:rsidRPr="00080EC9" w:rsidRDefault="00080EC9">
      <w:pPr>
        <w:spacing w:after="0"/>
        <w:rPr>
          <w:lang w:val="ru-RU"/>
        </w:rPr>
      </w:pPr>
      <w:bookmarkStart w:id="0" w:name="_GoBack"/>
      <w:r w:rsidRPr="00080EC9">
        <w:rPr>
          <w:b/>
          <w:color w:val="000000"/>
          <w:lang w:val="ru-RU"/>
        </w:rPr>
        <w:t>Об утверждении критериев оценки степени риска и проверочных листов за соблюдением законодательства Республики Казахстан о лотереях и лотерейной деятельности</w:t>
      </w:r>
    </w:p>
    <w:p w:rsidR="00A8695F" w:rsidRPr="00080EC9" w:rsidRDefault="00080EC9">
      <w:pPr>
        <w:spacing w:after="0"/>
        <w:rPr>
          <w:lang w:val="ru-RU"/>
        </w:rPr>
      </w:pPr>
      <w:r w:rsidRPr="00080EC9">
        <w:rPr>
          <w:color w:val="000000"/>
          <w:sz w:val="20"/>
          <w:lang w:val="ru-RU"/>
        </w:rPr>
        <w:t xml:space="preserve">Совместный приказ Министра культуры и спорта Республики Казахстан от 29 июня 2016 года № 195 и </w:t>
      </w:r>
      <w:r w:rsidRPr="00080EC9">
        <w:rPr>
          <w:color w:val="000000"/>
          <w:sz w:val="20"/>
          <w:lang w:val="ru-RU"/>
        </w:rPr>
        <w:t xml:space="preserve">Министра национальной экономики Республики Казахстан от 18 июля 2016 года № 323. </w:t>
      </w:r>
      <w:bookmarkEnd w:id="0"/>
      <w:r w:rsidRPr="00080EC9">
        <w:rPr>
          <w:color w:val="000000"/>
          <w:sz w:val="20"/>
          <w:lang w:val="ru-RU"/>
        </w:rPr>
        <w:t>Зарегистрирован в Министерстве юстиции Республики Казахстан 25 августа 2016 года № 14142</w:t>
      </w:r>
    </w:p>
    <w:p w:rsidR="00A8695F" w:rsidRDefault="00080EC9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080EC9">
        <w:rPr>
          <w:color w:val="000000"/>
          <w:sz w:val="20"/>
          <w:lang w:val="ru-RU"/>
        </w:rPr>
        <w:t>пунктом 3 статьи 141 и</w:t>
      </w:r>
      <w:r>
        <w:rPr>
          <w:color w:val="000000"/>
          <w:sz w:val="20"/>
        </w:rPr>
        <w:t> </w:t>
      </w:r>
      <w:r w:rsidRPr="00080EC9">
        <w:rPr>
          <w:color w:val="000000"/>
          <w:sz w:val="20"/>
          <w:lang w:val="ru-RU"/>
        </w:rPr>
        <w:t>пунктом 1 статьи 143 Предпринимательског</w:t>
      </w:r>
      <w:r w:rsidRPr="00080EC9">
        <w:rPr>
          <w:color w:val="000000"/>
          <w:sz w:val="20"/>
          <w:lang w:val="ru-RU"/>
        </w:rPr>
        <w:t xml:space="preserve">о кодекса Республики Казахстан от 29 октября 2015 года </w:t>
      </w:r>
      <w:r w:rsidRPr="00080EC9">
        <w:rPr>
          <w:b/>
          <w:color w:val="000000"/>
          <w:sz w:val="20"/>
          <w:lang w:val="ru-RU"/>
        </w:rPr>
        <w:t>ПРИКАЗЫВАЕМ: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лотереях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лотерейной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</w:t>
      </w:r>
      <w:r>
        <w:rPr>
          <w:color w:val="000000"/>
          <w:sz w:val="20"/>
        </w:rPr>
        <w:t>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лотереях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лотерейной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оператором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лотереи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</w:t>
      </w:r>
      <w:r w:rsidRPr="00080EC9">
        <w:rPr>
          <w:color w:val="000000"/>
          <w:sz w:val="20"/>
          <w:lang w:val="ru-RU"/>
        </w:rPr>
        <w:t>2. Комитету по делам спорта и физической культуры Министерства культуры и спорта Республики Казахстан (Канагатов И.Б.) в установленном законодательством порядке обеспечить: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</w:t>
      </w:r>
      <w:r w:rsidRPr="00080EC9">
        <w:rPr>
          <w:color w:val="000000"/>
          <w:sz w:val="20"/>
          <w:lang w:val="ru-RU"/>
        </w:rPr>
        <w:t>Республики Казахстан;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информационно-правовой си</w:t>
      </w:r>
      <w:r w:rsidRPr="00080EC9">
        <w:rPr>
          <w:color w:val="000000"/>
          <w:sz w:val="20"/>
          <w:lang w:val="ru-RU"/>
        </w:rPr>
        <w:t>стеме «Әділет»;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«Республиканский центр правовой информации Министерст</w:t>
      </w:r>
      <w:r w:rsidRPr="00080EC9">
        <w:rPr>
          <w:color w:val="000000"/>
          <w:sz w:val="20"/>
          <w:lang w:val="ru-RU"/>
        </w:rPr>
        <w:t>ва юстиции Республики Казахстан»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</w:t>
      </w:r>
      <w:r w:rsidRPr="00080EC9">
        <w:rPr>
          <w:color w:val="000000"/>
          <w:sz w:val="20"/>
          <w:lang w:val="ru-RU"/>
        </w:rPr>
        <w:t>мативных правовых актов Республики Казахстан, Государственный реестр нормативных правовых актов Республики Казахстан;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4) размещение настоящего приказа в течение десяти календарных дней после официального опубликования на интернет-ресурсе Министерства</w:t>
      </w:r>
      <w:r w:rsidRPr="00080EC9">
        <w:rPr>
          <w:color w:val="000000"/>
          <w:sz w:val="20"/>
          <w:lang w:val="ru-RU"/>
        </w:rPr>
        <w:t xml:space="preserve"> культуры и спорта Республики Казахстан;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</w:t>
      </w:r>
      <w:r w:rsidRPr="00080EC9">
        <w:rPr>
          <w:color w:val="000000"/>
          <w:sz w:val="20"/>
          <w:lang w:val="ru-RU"/>
        </w:rPr>
        <w:t>исполнении мероприятий.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90"/>
        <w:gridCol w:w="5072"/>
      </w:tblGrid>
      <w:tr w:rsidR="00A8695F" w:rsidRPr="00080EC9">
        <w:trPr>
          <w:trHeight w:val="30"/>
          <w:tblCellSpacing w:w="0" w:type="auto"/>
        </w:trPr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i/>
                <w:color w:val="000000"/>
                <w:sz w:val="20"/>
                <w:lang w:val="ru-RU"/>
              </w:rPr>
              <w:t>Министр культуры и спорта</w:t>
            </w:r>
            <w:r w:rsidRPr="00080EC9">
              <w:rPr>
                <w:lang w:val="ru-RU"/>
              </w:rPr>
              <w:br/>
            </w:r>
            <w:r w:rsidRPr="00080EC9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080EC9">
              <w:rPr>
                <w:lang w:val="ru-RU"/>
              </w:rPr>
              <w:br/>
            </w:r>
            <w:r w:rsidRPr="00080EC9">
              <w:rPr>
                <w:i/>
                <w:color w:val="000000"/>
                <w:sz w:val="20"/>
                <w:lang w:val="ru-RU"/>
              </w:rPr>
              <w:t>_____________ А. Мухамедиулы</w:t>
            </w:r>
          </w:p>
        </w:tc>
        <w:tc>
          <w:tcPr>
            <w:tcW w:w="6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i/>
                <w:color w:val="000000"/>
                <w:sz w:val="20"/>
                <w:lang w:val="ru-RU"/>
              </w:rPr>
              <w:t xml:space="preserve">Министр национальной экономики </w:t>
            </w:r>
            <w:r w:rsidRPr="00080EC9">
              <w:rPr>
                <w:lang w:val="ru-RU"/>
              </w:rPr>
              <w:br/>
            </w:r>
            <w:r w:rsidRPr="00080EC9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  <w:r w:rsidRPr="00080EC9">
              <w:rPr>
                <w:lang w:val="ru-RU"/>
              </w:rPr>
              <w:br/>
            </w:r>
            <w:r w:rsidRPr="00080EC9">
              <w:rPr>
                <w:i/>
                <w:color w:val="000000"/>
                <w:sz w:val="20"/>
                <w:lang w:val="ru-RU"/>
              </w:rPr>
              <w:t>_________________ К. Бишимбаев</w:t>
            </w:r>
          </w:p>
        </w:tc>
      </w:tr>
    </w:tbl>
    <w:p w:rsidR="00A8695F" w:rsidRPr="00080EC9" w:rsidRDefault="00080EC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080EC9">
        <w:rPr>
          <w:i/>
          <w:color w:val="000000"/>
          <w:sz w:val="20"/>
          <w:lang w:val="ru-RU"/>
        </w:rPr>
        <w:t xml:space="preserve"> «СОГЛАСОВАН»</w:t>
      </w:r>
      <w:r w:rsidRPr="00080E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80EC9">
        <w:rPr>
          <w:i/>
          <w:color w:val="000000"/>
          <w:sz w:val="20"/>
          <w:lang w:val="ru-RU"/>
        </w:rPr>
        <w:t xml:space="preserve"> Председатель К</w:t>
      </w:r>
      <w:r w:rsidRPr="00080EC9">
        <w:rPr>
          <w:i/>
          <w:color w:val="000000"/>
          <w:sz w:val="20"/>
          <w:lang w:val="ru-RU"/>
        </w:rPr>
        <w:t>омитета</w:t>
      </w:r>
      <w:r w:rsidRPr="00080E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80EC9">
        <w:rPr>
          <w:i/>
          <w:color w:val="000000"/>
          <w:sz w:val="20"/>
          <w:lang w:val="ru-RU"/>
        </w:rPr>
        <w:t xml:space="preserve"> по правовой статистике и</w:t>
      </w:r>
      <w:r w:rsidRPr="00080EC9">
        <w:rPr>
          <w:lang w:val="ru-RU"/>
        </w:rPr>
        <w:br/>
      </w:r>
      <w:r>
        <w:rPr>
          <w:i/>
          <w:color w:val="000000"/>
          <w:sz w:val="20"/>
        </w:rPr>
        <w:lastRenderedPageBreak/>
        <w:t>     </w:t>
      </w:r>
      <w:r w:rsidRPr="00080EC9">
        <w:rPr>
          <w:i/>
          <w:color w:val="000000"/>
          <w:sz w:val="20"/>
          <w:lang w:val="ru-RU"/>
        </w:rPr>
        <w:t xml:space="preserve"> специальным учетам</w:t>
      </w:r>
      <w:r w:rsidRPr="00080E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80EC9">
        <w:rPr>
          <w:i/>
          <w:color w:val="000000"/>
          <w:sz w:val="20"/>
          <w:lang w:val="ru-RU"/>
        </w:rPr>
        <w:t xml:space="preserve"> Генеральной прокуратуры</w:t>
      </w:r>
      <w:r w:rsidRPr="00080E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80EC9">
        <w:rPr>
          <w:i/>
          <w:color w:val="000000"/>
          <w:sz w:val="20"/>
          <w:lang w:val="ru-RU"/>
        </w:rPr>
        <w:t xml:space="preserve"> Республики Казахстан</w:t>
      </w:r>
      <w:r w:rsidRPr="00080E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80EC9">
        <w:rPr>
          <w:i/>
          <w:color w:val="000000"/>
          <w:sz w:val="20"/>
          <w:lang w:val="ru-RU"/>
        </w:rPr>
        <w:t xml:space="preserve"> ________________С. Айтпаева</w:t>
      </w:r>
      <w:r w:rsidRPr="00080E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80EC9">
        <w:rPr>
          <w:i/>
          <w:color w:val="000000"/>
          <w:sz w:val="20"/>
          <w:lang w:val="ru-RU"/>
        </w:rPr>
        <w:t xml:space="preserve"> «___»___________2016 года</w:t>
      </w:r>
    </w:p>
    <w:p w:rsidR="00A8695F" w:rsidRPr="00080EC9" w:rsidRDefault="00080EC9">
      <w:pPr>
        <w:spacing w:after="0"/>
        <w:jc w:val="right"/>
        <w:rPr>
          <w:lang w:val="ru-RU"/>
        </w:rPr>
      </w:pPr>
      <w:bookmarkStart w:id="2" w:name="z8"/>
      <w:r w:rsidRPr="00080EC9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к совместному приказу Министра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культуры </w:t>
      </w:r>
      <w:r w:rsidRPr="00080EC9">
        <w:rPr>
          <w:color w:val="000000"/>
          <w:sz w:val="20"/>
          <w:lang w:val="ru-RU"/>
        </w:rPr>
        <w:t>и спорта</w:t>
      </w:r>
      <w:r>
        <w:rPr>
          <w:color w:val="000000"/>
          <w:sz w:val="20"/>
        </w:rPr>
        <w:t>      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от 29 июня 2016 года № 195</w:t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  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экономики Республики Казахстан</w:t>
      </w:r>
      <w:r>
        <w:rPr>
          <w:color w:val="000000"/>
          <w:sz w:val="20"/>
        </w:rPr>
        <w:t>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от 18 июля 2016 года № 323</w:t>
      </w:r>
      <w:r>
        <w:rPr>
          <w:color w:val="000000"/>
          <w:sz w:val="20"/>
        </w:rPr>
        <w:t>   </w:t>
      </w:r>
      <w:r w:rsidRPr="00080EC9">
        <w:rPr>
          <w:color w:val="000000"/>
          <w:sz w:val="20"/>
          <w:lang w:val="ru-RU"/>
        </w:rPr>
        <w:t xml:space="preserve"> </w:t>
      </w:r>
    </w:p>
    <w:p w:rsidR="00A8695F" w:rsidRPr="00080EC9" w:rsidRDefault="00080EC9">
      <w:pPr>
        <w:spacing w:after="0"/>
        <w:rPr>
          <w:lang w:val="ru-RU"/>
        </w:rPr>
      </w:pPr>
      <w:bookmarkStart w:id="3" w:name="z9"/>
      <w:bookmarkEnd w:id="2"/>
      <w:r w:rsidRPr="00080EC9">
        <w:rPr>
          <w:b/>
          <w:color w:val="000000"/>
          <w:lang w:val="ru-RU"/>
        </w:rPr>
        <w:t xml:space="preserve">   Критерии оценки степени риска за соблюдением законодательства</w:t>
      </w:r>
      <w:r w:rsidRPr="00080EC9">
        <w:rPr>
          <w:lang w:val="ru-RU"/>
        </w:rPr>
        <w:br/>
      </w:r>
      <w:r w:rsidRPr="00080EC9">
        <w:rPr>
          <w:b/>
          <w:color w:val="000000"/>
          <w:lang w:val="ru-RU"/>
        </w:rPr>
        <w:t xml:space="preserve">Республики </w:t>
      </w:r>
      <w:r w:rsidRPr="00080EC9">
        <w:rPr>
          <w:b/>
          <w:color w:val="000000"/>
          <w:lang w:val="ru-RU"/>
        </w:rPr>
        <w:t>Казахстан о лотереях и лотерейной деятельности</w:t>
      </w:r>
    </w:p>
    <w:p w:rsidR="00A8695F" w:rsidRPr="00080EC9" w:rsidRDefault="00080EC9">
      <w:pPr>
        <w:spacing w:after="0"/>
        <w:rPr>
          <w:lang w:val="ru-RU"/>
        </w:rPr>
      </w:pPr>
      <w:bookmarkStart w:id="4" w:name="z10"/>
      <w:bookmarkEnd w:id="3"/>
      <w:r w:rsidRPr="00080EC9">
        <w:rPr>
          <w:b/>
          <w:color w:val="000000"/>
          <w:lang w:val="ru-RU"/>
        </w:rPr>
        <w:t xml:space="preserve">   1. Общие положения</w:t>
      </w:r>
    </w:p>
    <w:p w:rsidR="00A8695F" w:rsidRDefault="00080EC9">
      <w:pPr>
        <w:spacing w:after="0"/>
      </w:pPr>
      <w:bookmarkStart w:id="5" w:name="z11"/>
      <w:bookmarkEnd w:id="4"/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1. Критерии оценки степени риска за соблюдением законодательства Республики Казахстан о лотереях и лотерейной деятельности (далее – Критерии) предназначены для проведения проверок у</w:t>
      </w:r>
      <w:r w:rsidRPr="00080EC9">
        <w:rPr>
          <w:color w:val="000000"/>
          <w:sz w:val="20"/>
          <w:lang w:val="ru-RU"/>
        </w:rPr>
        <w:t>полномоченным органом в сфере лотереи и лотерейной деятельности (далее – уполномоченный орган).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2. В настоящих Критериях использованы следующие понятия: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1) значительные нарушения – нарушения, связанные с несоблюдением требований законодательств</w:t>
      </w:r>
      <w:r w:rsidRPr="00080EC9">
        <w:rPr>
          <w:color w:val="000000"/>
          <w:sz w:val="20"/>
          <w:lang w:val="ru-RU"/>
        </w:rPr>
        <w:t>а Республики Казахстан о лотереях и лотерейной деятельности по разглашению сведений о выигравшем участнике лотереи, по организации и проведению в Республике Казахстан иных лотерей, кроме лотерей, организуемых и проводимых в порядке, предусмотренном</w:t>
      </w:r>
      <w:r>
        <w:rPr>
          <w:color w:val="000000"/>
          <w:sz w:val="20"/>
        </w:rPr>
        <w:t> </w:t>
      </w:r>
      <w:r w:rsidRPr="00080EC9">
        <w:rPr>
          <w:color w:val="000000"/>
          <w:sz w:val="20"/>
          <w:lang w:val="ru-RU"/>
        </w:rPr>
        <w:t>Законом</w:t>
      </w:r>
      <w:r w:rsidRPr="00080EC9">
        <w:rPr>
          <w:color w:val="000000"/>
          <w:sz w:val="20"/>
          <w:lang w:val="ru-RU"/>
        </w:rPr>
        <w:t xml:space="preserve"> Республики Казахстан от 9 апреля 2016 года «О лотереях и лотерейной деятельности» (далее – Закон), по проведение азартных игр и (или) пари под видом лотерей, по занятию иными видами предпринимательской деятельности, кроме проведения лотереи, по обеспечени</w:t>
      </w:r>
      <w:r w:rsidRPr="00080EC9">
        <w:rPr>
          <w:color w:val="000000"/>
          <w:sz w:val="20"/>
          <w:lang w:val="ru-RU"/>
        </w:rPr>
        <w:t>ю размещения центра лотерейной отчетности в уполномоченном органе, по защите информации, по направлению оригинального экземпляра утвержденных условий проведения лотереи в уполномоченный орган, по выплате выигрыша, по хранению не востребованных выигрышей, п</w:t>
      </w:r>
      <w:r w:rsidRPr="00080EC9">
        <w:rPr>
          <w:color w:val="000000"/>
          <w:sz w:val="20"/>
          <w:lang w:val="ru-RU"/>
        </w:rPr>
        <w:t>о обязанности ежеквартально направлять на развитие спорта не менее десяти процентов от разницы между выручкой от реализованных лотерейных билетов, квитанций или иных документов, зарегистрированных лотерейных ставок и призовым фондом;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2) незначительны</w:t>
      </w:r>
      <w:r w:rsidRPr="00080EC9">
        <w:rPr>
          <w:color w:val="000000"/>
          <w:sz w:val="20"/>
          <w:lang w:val="ru-RU"/>
        </w:rPr>
        <w:t>е нарушения – нарушения, связанные с несоблюдением требований законодательства Республики Казахстан о лотереях и лотерейной деятельности касательно условий проведения лотереи, по расположению центра обработки лотерейной информации, по недопущению лотерейны</w:t>
      </w:r>
      <w:r w:rsidRPr="00080EC9">
        <w:rPr>
          <w:color w:val="000000"/>
          <w:sz w:val="20"/>
          <w:lang w:val="ru-RU"/>
        </w:rPr>
        <w:t xml:space="preserve">м оборудованием возможности обеспечивать прием и регистрацию лотерейной ставки, а также отсутствию возможности иметь соединения по сети связи с лотерейными терминалами, по обеспечению формирования призового фонда в размере не менее пятидесяти процентов от </w:t>
      </w:r>
      <w:r w:rsidRPr="00080EC9">
        <w:rPr>
          <w:color w:val="000000"/>
          <w:sz w:val="20"/>
          <w:lang w:val="ru-RU"/>
        </w:rPr>
        <w:t>выручки от реализованных лотерейных билетов, квитанций или иных документов, зарегистрированных лотерейных ставок конкретной лотереи, по формированию призового фонда тиражной лотереи до начала его розыгрыша, по обременению призового фонда, какими–либо обяза</w:t>
      </w:r>
      <w:r w:rsidRPr="00080EC9">
        <w:rPr>
          <w:color w:val="000000"/>
          <w:sz w:val="20"/>
          <w:lang w:val="ru-RU"/>
        </w:rPr>
        <w:t>тельствами, за исключением обязательств перед участниками лотереи по выплате выигрышей; по наличию информации в лотерейных билетах, квитанциях или иных документах;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3) грубые нарушения – нарушения, связанные с несоблюдением требований законодательства</w:t>
      </w:r>
      <w:r w:rsidRPr="00080EC9">
        <w:rPr>
          <w:color w:val="000000"/>
          <w:sz w:val="20"/>
          <w:lang w:val="ru-RU"/>
        </w:rPr>
        <w:t xml:space="preserve"> Республики Казахстан о лотереях и лотерейной деятельности по обязанности обеспечения сбора, формирования, хранения и учета информации о распространенных лотерейных билетах, квитанциях или иных документов, по выплатам </w:t>
      </w:r>
      <w:r w:rsidRPr="00080EC9">
        <w:rPr>
          <w:color w:val="000000"/>
          <w:sz w:val="20"/>
          <w:lang w:val="ru-RU"/>
        </w:rPr>
        <w:lastRenderedPageBreak/>
        <w:t>выигрышей оператором лотереи, по оснащ</w:t>
      </w:r>
      <w:r w:rsidRPr="00080EC9">
        <w:rPr>
          <w:color w:val="000000"/>
          <w:sz w:val="20"/>
          <w:lang w:val="ru-RU"/>
        </w:rPr>
        <w:t>ению лотерейных терминалов контрольно–кассовыми машинами, по обеспечению случайности распределения выигрышей при розыгрыше призового фонда, по разработке и утверждению условий проведения лотереи и включению в условия проведения лотереи необходимых сведе</w:t>
      </w:r>
      <w:proofErr w:type="spellStart"/>
      <w:r>
        <w:rPr>
          <w:color w:val="000000"/>
          <w:sz w:val="20"/>
        </w:rPr>
        <w:t>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розыгрышу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призового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тиражной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лотереи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тиража</w:t>
      </w:r>
      <w:proofErr w:type="spellEnd"/>
      <w:r>
        <w:rPr>
          <w:color w:val="000000"/>
          <w:sz w:val="20"/>
        </w:rPr>
        <w:t xml:space="preserve">, к </w:t>
      </w:r>
      <w:proofErr w:type="spellStart"/>
      <w:r>
        <w:rPr>
          <w:color w:val="000000"/>
          <w:sz w:val="20"/>
        </w:rPr>
        <w:t>которому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относится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выплате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выигрышей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 </w:t>
      </w:r>
      <w:proofErr w:type="spellStart"/>
      <w:r>
        <w:rPr>
          <w:color w:val="000000"/>
          <w:sz w:val="20"/>
        </w:rPr>
        <w:t>Законом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условиями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лотереи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содержащейся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лотерейных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билетах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квитанциях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</w:t>
      </w:r>
      <w:r>
        <w:rPr>
          <w:color w:val="000000"/>
          <w:sz w:val="20"/>
        </w:rPr>
        <w:t>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языках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розыгрышу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призового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статьей</w:t>
      </w:r>
      <w:proofErr w:type="spellEnd"/>
      <w:r>
        <w:rPr>
          <w:color w:val="000000"/>
          <w:sz w:val="20"/>
        </w:rPr>
        <w:t xml:space="preserve"> 13 </w:t>
      </w:r>
      <w:proofErr w:type="spellStart"/>
      <w:r>
        <w:rPr>
          <w:color w:val="000000"/>
          <w:sz w:val="20"/>
        </w:rPr>
        <w:t>Закона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поступивших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фактами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</w:t>
      </w:r>
      <w:r>
        <w:rPr>
          <w:color w:val="000000"/>
          <w:sz w:val="20"/>
        </w:rPr>
        <w:t>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лотереях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лотерейной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наличию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жалоб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обращений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физических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риск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вероятность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причинения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результате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интересам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физических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имуществен</w:t>
      </w:r>
      <w:r>
        <w:rPr>
          <w:color w:val="000000"/>
          <w:sz w:val="20"/>
        </w:rPr>
        <w:t>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интересам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государства</w:t>
      </w:r>
      <w:proofErr w:type="spellEnd"/>
      <w:r>
        <w:rPr>
          <w:color w:val="000000"/>
          <w:sz w:val="20"/>
        </w:rPr>
        <w:t xml:space="preserve">,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тяжести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последствий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вероятность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легализации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отмыванию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доходов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полученных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преступным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путем</w:t>
      </w:r>
      <w:proofErr w:type="spellEnd"/>
      <w:r>
        <w:rPr>
          <w:color w:val="000000"/>
          <w:sz w:val="20"/>
        </w:rPr>
        <w:t xml:space="preserve">, и </w:t>
      </w:r>
      <w:proofErr w:type="spellStart"/>
      <w:r>
        <w:rPr>
          <w:color w:val="000000"/>
          <w:sz w:val="20"/>
        </w:rPr>
        <w:t>финансированию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терроризма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</w:t>
      </w:r>
      <w:r>
        <w:rPr>
          <w:color w:val="000000"/>
          <w:sz w:val="20"/>
        </w:rPr>
        <w:t>итерии</w:t>
      </w:r>
      <w:proofErr w:type="spellEnd"/>
      <w:r>
        <w:rPr>
          <w:color w:val="000000"/>
          <w:sz w:val="20"/>
        </w:rPr>
        <w:t xml:space="preserve">) –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используемые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) в </w:t>
      </w:r>
      <w:proofErr w:type="spellStart"/>
      <w:r>
        <w:rPr>
          <w:color w:val="000000"/>
          <w:sz w:val="20"/>
        </w:rPr>
        <w:t>зависимости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конкретного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объекта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 xml:space="preserve">      6) </w:t>
      </w:r>
      <w:proofErr w:type="spellStart"/>
      <w:r>
        <w:rPr>
          <w:color w:val="000000"/>
          <w:sz w:val="20"/>
        </w:rPr>
        <w:t>проверяемые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объекты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имущество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находящееся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</w:t>
      </w:r>
      <w:r>
        <w:rPr>
          <w:color w:val="000000"/>
          <w:sz w:val="20"/>
        </w:rPr>
        <w:t>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у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подлежащее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контролю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надзору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7) </w:t>
      </w:r>
      <w:proofErr w:type="spellStart"/>
      <w:r>
        <w:rPr>
          <w:color w:val="000000"/>
          <w:sz w:val="20"/>
        </w:rPr>
        <w:t>проверяемый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юридическое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определяемое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проведению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лотерей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3.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формируются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посредством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Внеплановые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надзора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отнесенного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отнесенного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</w:t>
      </w:r>
      <w:r>
        <w:rPr>
          <w:color w:val="000000"/>
          <w:sz w:val="20"/>
        </w:rPr>
        <w:t>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формируемых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. </w:t>
      </w:r>
      <w:r w:rsidRPr="00080EC9">
        <w:rPr>
          <w:color w:val="000000"/>
          <w:sz w:val="20"/>
          <w:lang w:val="ru-RU"/>
        </w:rPr>
        <w:t>Списки выборочных проверок направляются в уполномоченный орган по правовой статистике</w:t>
      </w:r>
      <w:r w:rsidRPr="00080EC9">
        <w:rPr>
          <w:color w:val="000000"/>
          <w:sz w:val="20"/>
          <w:lang w:val="ru-RU"/>
        </w:rPr>
        <w:t xml:space="preserve"> и специальным учетам в срок не позднее, чем за пятнадцать календарных дней до начала соответствующего отчетного года.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5.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составляются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достижения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высокого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</w:t>
      </w:r>
      <w:r>
        <w:rPr>
          <w:color w:val="000000"/>
          <w:sz w:val="20"/>
        </w:rPr>
        <w:t>м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нагрузки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Кратность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превышает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год</w:t>
      </w:r>
      <w:proofErr w:type="spellEnd"/>
      <w:r>
        <w:rPr>
          <w:color w:val="000000"/>
          <w:sz w:val="20"/>
        </w:rPr>
        <w:t>.</w:t>
      </w:r>
    </w:p>
    <w:p w:rsidR="00A8695F" w:rsidRPr="00080EC9" w:rsidRDefault="00080EC9">
      <w:pPr>
        <w:spacing w:after="0"/>
        <w:rPr>
          <w:lang w:val="ru-RU"/>
        </w:rPr>
      </w:pPr>
      <w:bookmarkStart w:id="6" w:name="z24"/>
      <w:bookmarkEnd w:id="5"/>
      <w:r>
        <w:rPr>
          <w:b/>
          <w:color w:val="000000"/>
        </w:rPr>
        <w:t xml:space="preserve">   </w:t>
      </w:r>
      <w:r w:rsidRPr="00080EC9">
        <w:rPr>
          <w:b/>
          <w:color w:val="000000"/>
          <w:lang w:val="ru-RU"/>
        </w:rPr>
        <w:t>2. Субъективные критерии</w:t>
      </w:r>
    </w:p>
    <w:p w:rsidR="00A8695F" w:rsidRDefault="00080EC9">
      <w:pPr>
        <w:spacing w:after="0"/>
      </w:pPr>
      <w:bookmarkStart w:id="7" w:name="z25"/>
      <w:bookmarkEnd w:id="6"/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7. Определение субъективных критериев осуществляе</w:t>
      </w:r>
      <w:r w:rsidRPr="00080EC9">
        <w:rPr>
          <w:color w:val="000000"/>
          <w:sz w:val="20"/>
          <w:lang w:val="ru-RU"/>
        </w:rPr>
        <w:t>тся с применением следующих этапов: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1) формирование базы данных и сбор информации;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2) анализ информации и оценка рисков.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8. Для оценки степени рисков субъективных критериев проверяемых субъектов используются следующие источники информации</w:t>
      </w:r>
      <w:r w:rsidRPr="00080EC9">
        <w:rPr>
          <w:color w:val="000000"/>
          <w:sz w:val="20"/>
          <w:lang w:val="ru-RU"/>
        </w:rPr>
        <w:t>: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1) результаты мониторинга отчетности, представляемых проверяемым субъектом;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2) результаты предыдущих проверок. При этом степень тяжести нарушений (грубое, значительное, незначительное) устанавливается в случае несоблюдения требований законода</w:t>
      </w:r>
      <w:r w:rsidRPr="00080EC9">
        <w:rPr>
          <w:color w:val="000000"/>
          <w:sz w:val="20"/>
          <w:lang w:val="ru-RU"/>
        </w:rPr>
        <w:t>тельства, отраженных в проверочных листах;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3) результаты анализа сведений, поступивших от государственных органов;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4) наличие подтвержденных жалоб и обращений со стороны физических лиц, юридических лиц.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9. При наличии одного и более грубы</w:t>
      </w:r>
      <w:r w:rsidRPr="00080EC9">
        <w:rPr>
          <w:color w:val="000000"/>
          <w:sz w:val="20"/>
          <w:lang w:val="ru-RU"/>
        </w:rPr>
        <w:t xml:space="preserve">х нарушений проверяемому субъекту (объекту) </w:t>
      </w:r>
      <w:r w:rsidRPr="00080EC9">
        <w:rPr>
          <w:color w:val="000000"/>
          <w:sz w:val="20"/>
          <w:lang w:val="ru-RU"/>
        </w:rPr>
        <w:lastRenderedPageBreak/>
        <w:t>присваивается показатель 100, что является основанием для проведения проверки в отношении проверяемого субъекта (объекта).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</w:t>
      </w:r>
      <w:r>
        <w:rPr>
          <w:color w:val="000000"/>
          <w:sz w:val="20"/>
        </w:rPr>
        <w:t>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суммарный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коэффициент</w:t>
      </w:r>
      <w:proofErr w:type="spellEnd"/>
      <w:r>
        <w:rPr>
          <w:color w:val="000000"/>
          <w:sz w:val="20"/>
        </w:rPr>
        <w:t xml:space="preserve"> 0,7 и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8194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19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</w:t>
      </w:r>
      <w:r>
        <w:rPr>
          <w:color w:val="000000"/>
          <w:sz w:val="20"/>
        </w:rPr>
        <w:t>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06400" cy="31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общее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445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коэффициент</w:t>
      </w:r>
      <w:proofErr w:type="spellEnd"/>
      <w:r>
        <w:rPr>
          <w:color w:val="000000"/>
          <w:sz w:val="20"/>
        </w:rPr>
        <w:t xml:space="preserve"> 0,3 и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</w:t>
      </w:r>
      <w:r>
        <w:rPr>
          <w:color w:val="000000"/>
          <w:sz w:val="20"/>
        </w:rPr>
        <w:t>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844800" cy="36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304800" cy="317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06400" cy="317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общее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445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Общий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(</w:t>
      </w:r>
      <w:r>
        <w:rPr>
          <w:noProof/>
          <w:lang w:val="ru-RU" w:eastAsia="ru-RU"/>
        </w:rPr>
        <w:drawing>
          <wp:inline distT="0" distB="0" distL="0" distR="0">
            <wp:extent cx="304800" cy="317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шкале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100 и </w:t>
      </w:r>
      <w:proofErr w:type="spellStart"/>
      <w:r>
        <w:rPr>
          <w:color w:val="000000"/>
          <w:sz w:val="20"/>
        </w:rPr>
        <w:t>определяется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путем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77800" cy="24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90500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Рз</w:t>
      </w:r>
      <w:proofErr w:type="spellEnd"/>
      <w:r>
        <w:rPr>
          <w:color w:val="000000"/>
          <w:sz w:val="20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9050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Рн</w:t>
      </w:r>
      <w:proofErr w:type="spellEnd"/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77800" cy="241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– </w:t>
      </w:r>
      <w:proofErr w:type="spellStart"/>
      <w:r>
        <w:rPr>
          <w:color w:val="000000"/>
          <w:sz w:val="20"/>
        </w:rPr>
        <w:t>общий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77800" cy="241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Рз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</w:t>
      </w:r>
      <w:r>
        <w:rPr>
          <w:color w:val="000000"/>
          <w:sz w:val="20"/>
        </w:rPr>
        <w:t>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77800" cy="241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Рн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10. </w:t>
      </w:r>
      <w:proofErr w:type="spellStart"/>
      <w:r>
        <w:rPr>
          <w:color w:val="000000"/>
          <w:sz w:val="20"/>
        </w:rPr>
        <w:t>Проведя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обработку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уполномоченный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относит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 1) </w:t>
      </w:r>
      <w:proofErr w:type="spellStart"/>
      <w:r>
        <w:rPr>
          <w:color w:val="000000"/>
          <w:sz w:val="20"/>
        </w:rPr>
        <w:t>высокая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60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100;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отнесенная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60.</w:t>
      </w:r>
    </w:p>
    <w:p w:rsidR="00A8695F" w:rsidRPr="00080EC9" w:rsidRDefault="00080EC9">
      <w:pPr>
        <w:spacing w:after="0"/>
        <w:jc w:val="right"/>
        <w:rPr>
          <w:lang w:val="ru-RU"/>
        </w:rPr>
      </w:pPr>
      <w:bookmarkStart w:id="8" w:name="z29"/>
      <w:bookmarkEnd w:id="7"/>
      <w:r>
        <w:rPr>
          <w:color w:val="000000"/>
          <w:sz w:val="20"/>
        </w:rPr>
        <w:t xml:space="preserve">  </w:t>
      </w:r>
      <w:r w:rsidRPr="00080EC9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 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к Критериям оценки степени риска</w:t>
      </w:r>
      <w:r>
        <w:rPr>
          <w:color w:val="000000"/>
          <w:sz w:val="20"/>
        </w:rPr>
        <w:t>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за соблюдением</w:t>
      </w:r>
      <w:r w:rsidRPr="00080EC9">
        <w:rPr>
          <w:color w:val="000000"/>
          <w:sz w:val="20"/>
          <w:lang w:val="ru-RU"/>
        </w:rPr>
        <w:t xml:space="preserve"> законодательства</w:t>
      </w:r>
      <w:r>
        <w:rPr>
          <w:color w:val="000000"/>
          <w:sz w:val="20"/>
        </w:rPr>
        <w:t>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>о лотереях и лотерейной деятельности</w:t>
      </w:r>
    </w:p>
    <w:p w:rsidR="00A8695F" w:rsidRPr="00080EC9" w:rsidRDefault="00080EC9">
      <w:pPr>
        <w:spacing w:after="0"/>
        <w:rPr>
          <w:lang w:val="ru-RU"/>
        </w:rPr>
      </w:pPr>
      <w:bookmarkStart w:id="9" w:name="z30"/>
      <w:bookmarkEnd w:id="8"/>
      <w:r>
        <w:rPr>
          <w:b/>
          <w:color w:val="000000"/>
          <w:sz w:val="20"/>
        </w:rPr>
        <w:lastRenderedPageBreak/>
        <w:t>    </w:t>
      </w:r>
      <w:r w:rsidRPr="00080EC9">
        <w:rPr>
          <w:b/>
          <w:color w:val="000000"/>
          <w:sz w:val="20"/>
          <w:lang w:val="ru-RU"/>
        </w:rPr>
        <w:t xml:space="preserve"> Субъективные критерии оценки степени риска за соблюдением</w:t>
      </w:r>
      <w:r w:rsidRPr="00080EC9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080EC9">
        <w:rPr>
          <w:b/>
          <w:color w:val="000000"/>
          <w:sz w:val="20"/>
          <w:lang w:val="ru-RU"/>
        </w:rPr>
        <w:t xml:space="preserve"> законодательства Республики Казахстан о лотереях</w:t>
      </w:r>
      <w:r w:rsidRPr="00080EC9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080EC9">
        <w:rPr>
          <w:b/>
          <w:color w:val="000000"/>
          <w:sz w:val="20"/>
          <w:lang w:val="ru-RU"/>
        </w:rPr>
        <w:t xml:space="preserve"> и лотерейной деятельности для опера</w:t>
      </w:r>
      <w:r w:rsidRPr="00080EC9">
        <w:rPr>
          <w:b/>
          <w:color w:val="000000"/>
          <w:sz w:val="20"/>
          <w:lang w:val="ru-RU"/>
        </w:rPr>
        <w:t>тора лотереи</w:t>
      </w:r>
      <w:r w:rsidRPr="00080EC9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080EC9">
        <w:rPr>
          <w:b/>
          <w:color w:val="000000"/>
          <w:sz w:val="20"/>
          <w:lang w:val="ru-RU"/>
        </w:rPr>
        <w:t xml:space="preserve"> и лотерейной деятельности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4"/>
        <w:gridCol w:w="5530"/>
        <w:gridCol w:w="3428"/>
      </w:tblGrid>
      <w:tr w:rsidR="00A8695F">
        <w:trPr>
          <w:trHeight w:val="66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нарушений</w:t>
            </w:r>
            <w:proofErr w:type="spellEnd"/>
          </w:p>
        </w:tc>
      </w:tr>
      <w:tr w:rsidR="00A8695F" w:rsidRPr="00080EC9">
        <w:trPr>
          <w:trHeight w:val="81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jc w:val="center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1. Результаты мониторинга отчетности, представляемых проверяемым субъектом</w:t>
            </w:r>
          </w:p>
        </w:tc>
      </w:tr>
      <w:tr w:rsidR="00A8695F">
        <w:trPr>
          <w:trHeight w:val="69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Не соблюдение требования оператором лотереи посредством центра обработки лотерейной </w:t>
            </w:r>
            <w:r w:rsidRPr="00080EC9">
              <w:rPr>
                <w:color w:val="000000"/>
                <w:sz w:val="20"/>
                <w:lang w:val="ru-RU"/>
              </w:rPr>
              <w:t xml:space="preserve">информации обязанности по обеспечению сбора, формирования, хранения и учета информации о распространенных лотерейных билетах, квитанциях или иных документов, зарегистрированных лотерейных ставках, выручки от реализованных лотерейных билетов, квитанций или </w:t>
            </w:r>
            <w:r w:rsidRPr="00080EC9">
              <w:rPr>
                <w:color w:val="000000"/>
                <w:sz w:val="20"/>
                <w:lang w:val="ru-RU"/>
              </w:rPr>
              <w:t>иных документов, выплаченных выигрышах, и ее представление в центр лотерейной отчетности не реже одного раза в месяц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A8695F" w:rsidRPr="00080EC9">
        <w:trPr>
          <w:trHeight w:val="96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jc w:val="center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2. Результаты предыдущих проверок (степень тяжести устанавливается при несоблюдении нижеперечисленных требований)</w:t>
            </w:r>
          </w:p>
        </w:tc>
      </w:tr>
      <w:tr w:rsidR="00A8695F">
        <w:trPr>
          <w:trHeight w:val="73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080EC9">
              <w:rPr>
                <w:color w:val="000000"/>
                <w:sz w:val="20"/>
                <w:lang w:val="ru-RU"/>
              </w:rPr>
              <w:t>оператором лотереи условий проведения лотереи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A8695F">
        <w:trPr>
          <w:trHeight w:val="64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выплаты выигрыша на основании приобретенного участником лотереи лотерейного билета, квитанции или иного документа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A8695F">
        <w:trPr>
          <w:trHeight w:val="25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</w:t>
            </w:r>
            <w:r w:rsidRPr="00080EC9">
              <w:rPr>
                <w:color w:val="000000"/>
                <w:sz w:val="20"/>
                <w:lang w:val="ru-RU"/>
              </w:rPr>
              <w:t>требования по неразглашению сведений о выигравшем участнике лотереи, если не получено его письменное согласие, за исключением случаев, предусмотренных законами Республики Казахстан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A8695F">
        <w:trPr>
          <w:trHeight w:val="54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запрета на организацию и проведение в Республике Казахстан иных лотерей, кроме лотерей, организуемых и проводимых в порядке, предусмотренном Законом Республики Казахстан от 9 апреля 2016 года «О лотереях и лотерейной деятельно</w:t>
            </w:r>
            <w:r w:rsidRPr="00080EC9">
              <w:rPr>
                <w:color w:val="000000"/>
                <w:sz w:val="20"/>
                <w:lang w:val="ru-RU"/>
              </w:rPr>
              <w:t>сти» (далее – Закон)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A8695F">
        <w:trPr>
          <w:trHeight w:val="40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запрета на проведение азартных игр и (или) пари под видом лотерей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A8695F">
        <w:trPr>
          <w:trHeight w:val="60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о запрете на занятие иными видами предпринимательской </w:t>
            </w:r>
            <w:r w:rsidRPr="00080EC9">
              <w:rPr>
                <w:color w:val="000000"/>
                <w:sz w:val="20"/>
                <w:lang w:val="ru-RU"/>
              </w:rPr>
              <w:t>деятельности, кроме проведения лотереи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A8695F">
        <w:trPr>
          <w:trHeight w:val="93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обязанности по обеспечению размещения центра лотерейной отчетности в уполномоченном органе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A8695F">
        <w:trPr>
          <w:trHeight w:val="97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требования по оснащению лотерейных терминалов контрольно – кассовыми машинами, модели которых включены в государственный реестр контрольно – кассовых машин в соответствии с Кодексом Республики Казахстан от 10 декабря 2008 года</w:t>
            </w:r>
            <w:r w:rsidRPr="00080EC9">
              <w:rPr>
                <w:color w:val="000000"/>
                <w:sz w:val="20"/>
                <w:lang w:val="ru-RU"/>
              </w:rPr>
              <w:t xml:space="preserve"> «О налогах и других обязательных платежах в бюджет» (Налоговый кодекс)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A8695F">
        <w:trPr>
          <w:trHeight w:val="60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требования по расположению центра обработки лотерейной информации на территории Республики Казахстан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A8695F">
        <w:trPr>
          <w:trHeight w:val="25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</w:t>
            </w:r>
            <w:r w:rsidRPr="00080EC9">
              <w:rPr>
                <w:color w:val="000000"/>
                <w:sz w:val="20"/>
                <w:lang w:val="ru-RU"/>
              </w:rPr>
              <w:t>лотереи требования к центру обработки лотерейной информации и центру лотерейной отчетности по обеспечению ими защиты информации от утраты, хищения, искажения, подделки, несанкционированного доступа и действия по ее распространению, блокированию, уничтожени</w:t>
            </w:r>
            <w:r w:rsidRPr="00080EC9">
              <w:rPr>
                <w:color w:val="000000"/>
                <w:sz w:val="20"/>
                <w:lang w:val="ru-RU"/>
              </w:rPr>
              <w:t>ю, модификации, копированию и иных незаконных действий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A8695F">
        <w:trPr>
          <w:trHeight w:val="109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к лотерейному оборудованию: технические характеристики должны обеспечивать случайность распределения выигрышей при розыгрыше призового фонда; </w:t>
            </w:r>
            <w:r w:rsidRPr="00080EC9">
              <w:rPr>
                <w:color w:val="000000"/>
                <w:sz w:val="20"/>
                <w:lang w:val="ru-RU"/>
              </w:rPr>
              <w:t>отсутствие скрытых возможностей и (или) процедуры и алгоритмов, позволяющих предопределить результат проведения розыгрыша призового фонда до начала такого розыгрыша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A8695F">
        <w:trPr>
          <w:trHeight w:val="25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к лотерейному оборудованию, которое не </w:t>
            </w:r>
            <w:r w:rsidRPr="00080EC9">
              <w:rPr>
                <w:color w:val="000000"/>
                <w:sz w:val="20"/>
                <w:lang w:val="ru-RU"/>
              </w:rPr>
              <w:t>должно обеспечивать прием и регистрацию лотерейной ставки, иметь соединения по сети связи с лотерейными терминалами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A8695F">
        <w:trPr>
          <w:trHeight w:val="97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по разработке и утверждению условий проведения лотереи, включающие в себя </w:t>
            </w:r>
            <w:r w:rsidRPr="00080EC9">
              <w:rPr>
                <w:color w:val="000000"/>
                <w:sz w:val="20"/>
                <w:lang w:val="ru-RU"/>
              </w:rPr>
              <w:t>следующие сведения: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1) наименование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2) указание на вид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3) наименование оператора лотереи с указанием его места нахождения, банковских реквизитов, бизнес-идентификационного номера;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4) сроки проведения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5) описание концепции лотереи</w:t>
            </w:r>
            <w:r w:rsidRPr="00080EC9">
              <w:rPr>
                <w:color w:val="000000"/>
                <w:sz w:val="20"/>
                <w:lang w:val="ru-RU"/>
              </w:rPr>
              <w:t>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6) организационно-технологическое описание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7) права и обязанности участников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 xml:space="preserve">8) порядок и сроки выплаты выигрыша участнику </w:t>
            </w:r>
            <w:r w:rsidRPr="00080EC9">
              <w:rPr>
                <w:color w:val="000000"/>
                <w:sz w:val="20"/>
                <w:lang w:val="ru-RU"/>
              </w:rPr>
              <w:lastRenderedPageBreak/>
              <w:t>лотереи, признанному выигравшим, а также сроки проведения экспертизы выигрышных лотерейных билетов, квитанций или</w:t>
            </w:r>
            <w:r w:rsidRPr="00080EC9">
              <w:rPr>
                <w:color w:val="000000"/>
                <w:sz w:val="20"/>
                <w:lang w:val="ru-RU"/>
              </w:rPr>
              <w:t xml:space="preserve"> иных документов;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9) порядок информирования участников лотереи о правилах участия в лотерее и результатах розыгрыша призового фонда;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10) порядок распространения (реализации) лотерейных билетов, квитанций или иных документов, приема и регистрации лотерейных</w:t>
            </w:r>
            <w:r w:rsidRPr="00080EC9">
              <w:rPr>
                <w:color w:val="000000"/>
                <w:sz w:val="20"/>
                <w:lang w:val="ru-RU"/>
              </w:rPr>
              <w:t xml:space="preserve"> ставок;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11) цена лотерейного билета, квитанции или иного документа (размеры лотерейных ставок);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12) размер и форма (денежная или в натуре) выигрыша;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13) планируемый размер призового фонда;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 xml:space="preserve">14) порядок проведения розыгрыша призового фонда, алгоритм </w:t>
            </w:r>
            <w:r w:rsidRPr="00080EC9">
              <w:rPr>
                <w:color w:val="000000"/>
                <w:sz w:val="20"/>
                <w:lang w:val="ru-RU"/>
              </w:rPr>
              <w:t>определения выигрышей, правила формирования и розыгрыша суперприза (при наличии)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грубое</w:t>
            </w:r>
            <w:proofErr w:type="spellEnd"/>
          </w:p>
        </w:tc>
      </w:tr>
      <w:tr w:rsidR="00A8695F">
        <w:trPr>
          <w:trHeight w:val="31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по направлению оригинального экземпляра утвержденных им условий проведения лотереи в уполномоченный орган не позднее, чем </w:t>
            </w:r>
            <w:r w:rsidRPr="00080EC9">
              <w:rPr>
                <w:color w:val="000000"/>
                <w:sz w:val="20"/>
                <w:lang w:val="ru-RU"/>
              </w:rPr>
              <w:t>за десять календарных дней до начала ее проведения и размещению условия проведения лотереи на своем интернет – ресурсе не позднее, чем за один календарный день до начала ее проведения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A8695F">
        <w:trPr>
          <w:trHeight w:val="111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обязанности по </w:t>
            </w:r>
            <w:r w:rsidRPr="00080EC9">
              <w:rPr>
                <w:color w:val="000000"/>
                <w:sz w:val="20"/>
                <w:lang w:val="ru-RU"/>
              </w:rPr>
              <w:t>обеспечению формирования призового фонда в размере не менее пятидесяти процентов от выручки от реализованных лотерейных билетов, квитанций или иных документов, зарегистрированных лотерейных ставок конкретной лотереи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A8695F">
        <w:trPr>
          <w:trHeight w:val="54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</w:t>
            </w:r>
            <w:r w:rsidRPr="00080EC9">
              <w:rPr>
                <w:color w:val="000000"/>
                <w:sz w:val="20"/>
                <w:lang w:val="ru-RU"/>
              </w:rPr>
              <w:t xml:space="preserve"> лотереи требования по формированию призового фонда тиражной лотереи до начала его розыгрыша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A8695F">
        <w:trPr>
          <w:trHeight w:val="12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запрета обременять призовой фонд, какими – либо обязательствами, за исключением обязательств перед участниками </w:t>
            </w:r>
            <w:r w:rsidRPr="00080EC9">
              <w:rPr>
                <w:color w:val="000000"/>
                <w:sz w:val="20"/>
                <w:lang w:val="ru-RU"/>
              </w:rPr>
              <w:t>лотереи по выплате выигрышей, а также использовать средства призового фонда иначе, чем на выплату выигрышей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A8695F">
        <w:trPr>
          <w:trHeight w:val="25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по полному розыгрышу призового фонда тиражной лотереи в рамках тиража, к которому он </w:t>
            </w:r>
            <w:r w:rsidRPr="00080EC9">
              <w:rPr>
                <w:color w:val="000000"/>
                <w:sz w:val="20"/>
                <w:lang w:val="ru-RU"/>
              </w:rPr>
              <w:t>относится, за исключением тиражной лотереи, использующей в условиях проведения принцип накопительного формирования призового фонда в течении нескольких тиражей (суперприз)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A8695F">
        <w:trPr>
          <w:trHeight w:val="42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по выплате выигрышей в </w:t>
            </w:r>
            <w:r w:rsidRPr="00080EC9">
              <w:rPr>
                <w:color w:val="000000"/>
                <w:sz w:val="20"/>
                <w:lang w:val="ru-RU"/>
              </w:rPr>
              <w:t xml:space="preserve">соответствии с Законом и </w:t>
            </w:r>
            <w:r w:rsidRPr="00080EC9">
              <w:rPr>
                <w:color w:val="000000"/>
                <w:sz w:val="20"/>
                <w:lang w:val="ru-RU"/>
              </w:rPr>
              <w:lastRenderedPageBreak/>
              <w:t>условиями проведения лотереи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грубое</w:t>
            </w:r>
            <w:proofErr w:type="spellEnd"/>
          </w:p>
        </w:tc>
      </w:tr>
      <w:tr w:rsidR="00A8695F">
        <w:trPr>
          <w:trHeight w:val="109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по хранению выигрышей не востребованных в установленный условиями проведения лотереи срок в течении трех лет с момента опубликования результатов </w:t>
            </w:r>
            <w:r w:rsidRPr="00080EC9">
              <w:rPr>
                <w:color w:val="000000"/>
                <w:sz w:val="20"/>
                <w:lang w:val="ru-RU"/>
              </w:rPr>
              <w:t>соответствующего тиража (розыгрыша призового фонда), после чего зачисляется в доход бюджета в виде неналогового платежа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A8695F">
        <w:trPr>
          <w:trHeight w:val="12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по содержанию следующей обязательной информации в лотерейных билетах, </w:t>
            </w:r>
            <w:r w:rsidRPr="00080EC9">
              <w:rPr>
                <w:color w:val="000000"/>
                <w:sz w:val="20"/>
                <w:lang w:val="ru-RU"/>
              </w:rPr>
              <w:t>квитанциях или иных документах: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1) наименование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2) наименование, место нахождения, номера телефонов и интернет-ресурс оператора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3) номер или наименование тиража (для тиражных лотерей);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4) номер лотерейного билета, квитанции или иного доку</w:t>
            </w:r>
            <w:r w:rsidRPr="00080EC9">
              <w:rPr>
                <w:color w:val="000000"/>
                <w:sz w:val="20"/>
                <w:lang w:val="ru-RU"/>
              </w:rPr>
              <w:t>мента;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5) цена лотерейного билета, квитанции или иного документа;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6) дата и место проведения розыгрыша призового фонда (для тиражной лотереи);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7) данные о месте и сроках получения выигрыша;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8) размер призового фонда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A8695F">
        <w:trPr>
          <w:trHeight w:val="157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</w:t>
            </w:r>
            <w:r w:rsidRPr="00080EC9">
              <w:rPr>
                <w:color w:val="000000"/>
                <w:sz w:val="20"/>
                <w:lang w:val="ru-RU"/>
              </w:rPr>
              <w:t xml:space="preserve"> лотереи требования о соответствии информации, содержащейся в лотерейных билетах, квитанциях или иных документах, требованиям законодательства Республики Казахстан о языках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A8695F">
        <w:trPr>
          <w:trHeight w:val="1125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требования к проведению розыгрыша призового фонда в соответствии со статьей 13 Закона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A8695F">
        <w:trPr>
          <w:trHeight w:val="3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обязанности ежеквартально направлять на развитие спорта не менее десяти процентов от разницы между </w:t>
            </w:r>
            <w:r w:rsidRPr="00080EC9">
              <w:rPr>
                <w:color w:val="000000"/>
                <w:sz w:val="20"/>
                <w:lang w:val="ru-RU"/>
              </w:rPr>
              <w:t>выручкой от реализованных лотерейных билетов, квитанций или иных документов, зарегистрированных лотерейных ставок и призовым фондом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A8695F" w:rsidRPr="00080EC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jc w:val="center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3. Результаты анализа сведений, поступивших от государственных органов</w:t>
            </w:r>
          </w:p>
        </w:tc>
      </w:tr>
      <w:tr w:rsidR="00A8695F">
        <w:trPr>
          <w:trHeight w:val="3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Наличие сведений, поступивших от </w:t>
            </w:r>
            <w:r w:rsidRPr="00080EC9">
              <w:rPr>
                <w:color w:val="000000"/>
                <w:sz w:val="20"/>
                <w:lang w:val="ru-RU"/>
              </w:rPr>
              <w:t>государственных органов с фактами нарушения законодательства Республики Казахстан о лотереях и лотерейной деятельности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A8695F" w:rsidRPr="00080EC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jc w:val="center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4. Наличие подтвержденных жалоб и обращений со стороны физических лиц, юридических лиц</w:t>
            </w:r>
          </w:p>
        </w:tc>
      </w:tr>
      <w:tr w:rsidR="00A8695F">
        <w:trPr>
          <w:trHeight w:val="3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Наличие обращений от физических и </w:t>
            </w:r>
            <w:r w:rsidRPr="00080EC9">
              <w:rPr>
                <w:color w:val="000000"/>
                <w:sz w:val="20"/>
                <w:lang w:val="ru-RU"/>
              </w:rPr>
              <w:t xml:space="preserve">юридических лиц, права которых нарушены оператором лотереи с </w:t>
            </w:r>
            <w:r w:rsidRPr="00080EC9">
              <w:rPr>
                <w:color w:val="000000"/>
                <w:sz w:val="20"/>
                <w:lang w:val="ru-RU"/>
              </w:rPr>
              <w:lastRenderedPageBreak/>
              <w:t>приложением документов подтверждающих факт нарушения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грубое</w:t>
            </w:r>
            <w:proofErr w:type="spellEnd"/>
          </w:p>
        </w:tc>
      </w:tr>
    </w:tbl>
    <w:p w:rsidR="00A8695F" w:rsidRPr="00080EC9" w:rsidRDefault="00080EC9">
      <w:pPr>
        <w:spacing w:after="0"/>
        <w:jc w:val="right"/>
        <w:rPr>
          <w:lang w:val="ru-RU"/>
        </w:rPr>
      </w:pPr>
      <w:bookmarkStart w:id="10" w:name="z31"/>
      <w:r w:rsidRPr="00080EC9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к совместному приказу Министра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культуры и спорта</w:t>
      </w:r>
      <w:r>
        <w:rPr>
          <w:color w:val="000000"/>
          <w:sz w:val="20"/>
        </w:rPr>
        <w:t>      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color w:val="000000"/>
          <w:sz w:val="20"/>
          <w:lang w:val="ru-RU"/>
        </w:rPr>
        <w:t>от 29 июня 2016 года № 195</w:t>
      </w:r>
      <w:r>
        <w:rPr>
          <w:color w:val="000000"/>
          <w:sz w:val="20"/>
        </w:rPr>
        <w:t>   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   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экономики Республики Казахстан</w:t>
      </w:r>
      <w:r>
        <w:rPr>
          <w:color w:val="000000"/>
          <w:sz w:val="20"/>
        </w:rPr>
        <w:t> </w:t>
      </w:r>
      <w:r w:rsidRPr="00080EC9">
        <w:rPr>
          <w:color w:val="000000"/>
          <w:sz w:val="20"/>
          <w:lang w:val="ru-RU"/>
        </w:rPr>
        <w:t xml:space="preserve"> 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 xml:space="preserve"> от 18 июля 2016 года № 323</w:t>
      </w:r>
      <w:r>
        <w:rPr>
          <w:color w:val="000000"/>
          <w:sz w:val="20"/>
        </w:rPr>
        <w:t>   </w:t>
      </w:r>
      <w:r w:rsidRPr="00080EC9">
        <w:rPr>
          <w:color w:val="000000"/>
          <w:sz w:val="20"/>
          <w:lang w:val="ru-RU"/>
        </w:rPr>
        <w:t xml:space="preserve"> </w:t>
      </w:r>
    </w:p>
    <w:p w:rsidR="00A8695F" w:rsidRPr="00080EC9" w:rsidRDefault="00080EC9">
      <w:pPr>
        <w:spacing w:after="0"/>
        <w:rPr>
          <w:lang w:val="ru-RU"/>
        </w:rPr>
      </w:pPr>
      <w:bookmarkStart w:id="11" w:name="z32"/>
      <w:bookmarkEnd w:id="10"/>
      <w:r w:rsidRPr="00080EC9">
        <w:rPr>
          <w:b/>
          <w:color w:val="000000"/>
          <w:lang w:val="ru-RU"/>
        </w:rPr>
        <w:t xml:space="preserve">   Проверочный лист</w:t>
      </w:r>
      <w:r w:rsidRPr="00080EC9">
        <w:rPr>
          <w:lang w:val="ru-RU"/>
        </w:rPr>
        <w:br/>
      </w:r>
      <w:r w:rsidRPr="00080EC9">
        <w:rPr>
          <w:b/>
          <w:color w:val="000000"/>
          <w:lang w:val="ru-RU"/>
        </w:rPr>
        <w:t>в сфере государственного контроля за соблюдением</w:t>
      </w:r>
      <w:r w:rsidRPr="00080EC9">
        <w:rPr>
          <w:lang w:val="ru-RU"/>
        </w:rPr>
        <w:br/>
      </w:r>
      <w:r w:rsidRPr="00080EC9">
        <w:rPr>
          <w:b/>
          <w:color w:val="000000"/>
          <w:lang w:val="ru-RU"/>
        </w:rPr>
        <w:t>законодательства Республики Казахстан о лотереях и лотер</w:t>
      </w:r>
      <w:r w:rsidRPr="00080EC9">
        <w:rPr>
          <w:b/>
          <w:color w:val="000000"/>
          <w:lang w:val="ru-RU"/>
        </w:rPr>
        <w:t>ейной</w:t>
      </w:r>
      <w:r w:rsidRPr="00080EC9">
        <w:rPr>
          <w:lang w:val="ru-RU"/>
        </w:rPr>
        <w:br/>
      </w:r>
      <w:r w:rsidRPr="00080EC9">
        <w:rPr>
          <w:b/>
          <w:color w:val="000000"/>
          <w:lang w:val="ru-RU"/>
        </w:rPr>
        <w:t>деятельности в отношении оператора лотереи</w:t>
      </w:r>
    </w:p>
    <w:bookmarkEnd w:id="11"/>
    <w:p w:rsidR="00A8695F" w:rsidRPr="00080EC9" w:rsidRDefault="00080EC9">
      <w:pPr>
        <w:spacing w:after="0"/>
        <w:rPr>
          <w:lang w:val="ru-RU"/>
        </w:rPr>
      </w:pPr>
      <w:r w:rsidRPr="00080EC9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>Акт о назначении проверки __________________________________(№, дата)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>Наименование проверяемого субъекта (объекта)_______________________</w:t>
      </w:r>
      <w:r w:rsidRPr="00080EC9">
        <w:rPr>
          <w:color w:val="000000"/>
          <w:sz w:val="20"/>
          <w:lang w:val="ru-RU"/>
        </w:rPr>
        <w:t>__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8"/>
        <w:gridCol w:w="3603"/>
        <w:gridCol w:w="1287"/>
        <w:gridCol w:w="1287"/>
        <w:gridCol w:w="1583"/>
        <w:gridCol w:w="1524"/>
      </w:tblGrid>
      <w:tr w:rsidR="00A8695F">
        <w:trPr>
          <w:trHeight w:val="207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A8695F">
        <w:trPr>
          <w:trHeight w:val="48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8695F" w:rsidRPr="00080EC9">
        <w:trPr>
          <w:trHeight w:val="40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условий проведения лотереи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25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выплаты выигрыша на основании приобретенного участником лотереи лотерейного билета, квитанции или иного документа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27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</w:t>
            </w:r>
            <w:r w:rsidRPr="00080EC9">
              <w:rPr>
                <w:color w:val="000000"/>
                <w:sz w:val="20"/>
                <w:lang w:val="ru-RU"/>
              </w:rPr>
              <w:t>требования по неразглашению сведений о выигравшем участнике лотереи, если не получено его письменное согласие, за исключением случаев, предусмотренных законами Республики Казахстан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79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запрета на организацию и проведение в Республике Казахстан иных лотерей, кроме лотерей, организуемых и проводимых в порядке, </w:t>
            </w:r>
            <w:r w:rsidRPr="00080EC9">
              <w:rPr>
                <w:color w:val="000000"/>
                <w:sz w:val="20"/>
                <w:lang w:val="ru-RU"/>
              </w:rPr>
              <w:lastRenderedPageBreak/>
              <w:t>предусмотренном</w:t>
            </w:r>
            <w:r>
              <w:rPr>
                <w:color w:val="000000"/>
                <w:sz w:val="20"/>
              </w:rPr>
              <w:t> </w:t>
            </w:r>
            <w:r w:rsidRPr="00080EC9">
              <w:rPr>
                <w:color w:val="000000"/>
                <w:sz w:val="20"/>
                <w:lang w:val="ru-RU"/>
              </w:rPr>
              <w:t xml:space="preserve"> Законом Республики Казахстан от 9 апреля 2016 года «О лотереях и лотерейной деятельн</w:t>
            </w:r>
            <w:r w:rsidRPr="00080EC9">
              <w:rPr>
                <w:color w:val="000000"/>
                <w:sz w:val="20"/>
                <w:lang w:val="ru-RU"/>
              </w:rPr>
              <w:t>ости» (далее – Закон)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lastRenderedPageBreak/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82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запрета на проведение азартных игр и (или) пари под видом лотерей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97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о запрете на занятие иными видами предпринимательской деятельности, кроме </w:t>
            </w:r>
            <w:r w:rsidRPr="00080EC9">
              <w:rPr>
                <w:color w:val="000000"/>
                <w:sz w:val="20"/>
                <w:lang w:val="ru-RU"/>
              </w:rPr>
              <w:t>проведения лотереи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127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обязанности по обеспечению размещения центра лотерейной отчетности в уполномоченном органе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178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требования по оснащению лотерейных терминалов контрольно – кассовыми машинами, модели которых включены в государственный реестр контрольно – кассовых машин в соответствии с Кодексом Республики Казахстан от 10 декабря 2008 года</w:t>
            </w:r>
            <w:r w:rsidRPr="00080EC9">
              <w:rPr>
                <w:color w:val="000000"/>
                <w:sz w:val="20"/>
                <w:lang w:val="ru-RU"/>
              </w:rPr>
              <w:t xml:space="preserve"> «О налогах и других обязательных платежах в бюджет» (Налоговый кодекс)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25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требования по расположению центра обработки лотерейной информации на территории Республики Казахстан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138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</w:t>
            </w:r>
            <w:r w:rsidRPr="00080EC9">
              <w:rPr>
                <w:color w:val="000000"/>
                <w:sz w:val="20"/>
                <w:lang w:val="ru-RU"/>
              </w:rPr>
              <w:t>требования к центру обработки лотерейной информации и центру лотерейной отчетности по обеспечению ими защиты информации от утраты, хищения, искажения, подделки, несанкционированного доступа и действия по ее распространению, блокированию, уничтожению, модиф</w:t>
            </w:r>
            <w:r w:rsidRPr="00080EC9">
              <w:rPr>
                <w:color w:val="000000"/>
                <w:sz w:val="20"/>
                <w:lang w:val="ru-RU"/>
              </w:rPr>
              <w:t>икации, копированию и иных незаконных действий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124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к лотерейному оборудованию: технические характеристики должны обеспечивать случайность распределения выигрышей при розыгрыше призового фонда; отсутствие </w:t>
            </w:r>
            <w:r w:rsidRPr="00080EC9">
              <w:rPr>
                <w:color w:val="000000"/>
                <w:sz w:val="20"/>
                <w:lang w:val="ru-RU"/>
              </w:rPr>
              <w:t>скрытых возможностей и (или) процедуры и алгоритмов, позволяющих предопределить результат проведения розыгрыша призового фонда до начала такого розыгрыша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232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к лотерейному оборудованию, которое не должно </w:t>
            </w:r>
            <w:r w:rsidRPr="00080EC9">
              <w:rPr>
                <w:color w:val="000000"/>
                <w:sz w:val="20"/>
                <w:lang w:val="ru-RU"/>
              </w:rPr>
              <w:t>обеспечивать прием и регистрацию лотерейной ставки, иметь соединения по сети связи с лотерейными терминалами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25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требования по разработке и утверждению условий проведения лотереи, включающие в себя следующие сведения: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 xml:space="preserve">1) наименование лотереи; 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2) указание на вид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3) наименование оператора лотереи с указанием его места нахождения, банковских реквизитов, бизнес-идентификационного номера;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4) сроки проведения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5) описание концепции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6) организационно</w:t>
            </w:r>
            <w:r w:rsidRPr="00080EC9">
              <w:rPr>
                <w:color w:val="000000"/>
                <w:sz w:val="20"/>
                <w:lang w:val="ru-RU"/>
              </w:rPr>
              <w:t>-технологическое описание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7) права и обязанности участников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8) порядок и сроки выплаты выигрыша участнику лотереи, признанному выигравшим, а также сроки проведения экспертизы выигрышных лотерейных билетов, квитанций или иных документов;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9</w:t>
            </w:r>
            <w:r w:rsidRPr="00080EC9">
              <w:rPr>
                <w:color w:val="000000"/>
                <w:sz w:val="20"/>
                <w:lang w:val="ru-RU"/>
              </w:rPr>
              <w:t>) порядок информирования участников лотереи о правилах участия в лотерее и результатах розыгрыша призового фонда;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lastRenderedPageBreak/>
              <w:t>10) порядок распространения (реализации) лотерейных билетов, квитанций или иных документов, приема и регистрации лотерейных ставок;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11) цена л</w:t>
            </w:r>
            <w:r w:rsidRPr="00080EC9">
              <w:rPr>
                <w:color w:val="000000"/>
                <w:sz w:val="20"/>
                <w:lang w:val="ru-RU"/>
              </w:rPr>
              <w:t>отерейного билета, квитанции или иного документа (размеры лотерейных ставок);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12) размер и форма (денежная или в натуре) выигрыша;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13) планируемый размер призового фонда;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14) порядок проведения розыгрыша призового фонда, алгоритм определения выигрышей, пра</w:t>
            </w:r>
            <w:r w:rsidRPr="00080EC9">
              <w:rPr>
                <w:color w:val="000000"/>
                <w:sz w:val="20"/>
                <w:lang w:val="ru-RU"/>
              </w:rPr>
              <w:t>вила формирования и розыгрыша суперприза (при наличии)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lastRenderedPageBreak/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15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требования по направлению оригинального экземпляра утвержденных им условий проведения лотереи в уполномоченный орган не позднее, чем за десять календарных дней</w:t>
            </w:r>
            <w:r w:rsidRPr="00080EC9">
              <w:rPr>
                <w:color w:val="000000"/>
                <w:sz w:val="20"/>
                <w:lang w:val="ru-RU"/>
              </w:rPr>
              <w:t xml:space="preserve"> до начала ее проведения и размещению условия проведения лотереи на своем интернет – ресурсе не позднее, чем за один календарный день до начала ее проведения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121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обязанности по обеспечению формирования призового фонда </w:t>
            </w:r>
            <w:r w:rsidRPr="00080EC9">
              <w:rPr>
                <w:color w:val="000000"/>
                <w:sz w:val="20"/>
                <w:lang w:val="ru-RU"/>
              </w:rPr>
              <w:t>в размере не менее пятидесяти процентов от выручки от реализованных лотерейных билетов, квитанций или иных документов, зарегистрированных лотерейных ставок конкретной лотереи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124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по формированию призового </w:t>
            </w:r>
            <w:r w:rsidRPr="00080EC9">
              <w:rPr>
                <w:color w:val="000000"/>
                <w:sz w:val="20"/>
                <w:lang w:val="ru-RU"/>
              </w:rPr>
              <w:t>фонда тиражной лотереи до начала его розыгрыша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27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запрета обременять призовой фонд, какими – либо обязательствами, за исключением обязательств перед участниками лотереи по выплате выигрышей, а </w:t>
            </w:r>
            <w:r w:rsidRPr="00080EC9">
              <w:rPr>
                <w:color w:val="000000"/>
                <w:sz w:val="20"/>
                <w:lang w:val="ru-RU"/>
              </w:rPr>
              <w:lastRenderedPageBreak/>
              <w:t xml:space="preserve">также использовать </w:t>
            </w:r>
            <w:r w:rsidRPr="00080EC9">
              <w:rPr>
                <w:color w:val="000000"/>
                <w:sz w:val="20"/>
                <w:lang w:val="ru-RU"/>
              </w:rPr>
              <w:t>средства призового фонда иначе, чем на выплату выигрышей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lastRenderedPageBreak/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69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по полному розыгрышу призового фонда тиражной лотереи в рамках тиража, к которому он относится, за исключением тиражной лотереи, использующей в </w:t>
            </w:r>
            <w:r w:rsidRPr="00080EC9">
              <w:rPr>
                <w:color w:val="000000"/>
                <w:sz w:val="20"/>
                <w:lang w:val="ru-RU"/>
              </w:rPr>
              <w:t>условиях проведения принцип накопительного формирования призового фонда в течении нескольких тиражей (суперприз)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105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требования по выплате выигрышей в соответствии с Законом и условиями проведения лотереи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133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требования по хранению выигрышей не востребованных в установленный условиями проведения лотереи срок в течении трех лет с момента опубликования результатов соответствующего тиража (розыгрыша призового фонда), после чего зачисл</w:t>
            </w:r>
            <w:r w:rsidRPr="00080EC9">
              <w:rPr>
                <w:color w:val="000000"/>
                <w:sz w:val="20"/>
                <w:lang w:val="ru-RU"/>
              </w:rPr>
              <w:t>яется в доход бюджета в виде неналогового платежа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25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требования по содержанию следующей обязательной информации в лотерейных билетах, квитанциях или иных документах: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1) наименование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 xml:space="preserve">2) наименование, место </w:t>
            </w:r>
            <w:r w:rsidRPr="00080EC9">
              <w:rPr>
                <w:color w:val="000000"/>
                <w:sz w:val="20"/>
                <w:lang w:val="ru-RU"/>
              </w:rPr>
              <w:t>нахождения, номера телефонов и интернет-ресурс оператора лотереи;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3) номер или наименование тиража (для тиражных лотерей);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4) номер лотерейного билета, квитанции или иного документа;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5) цена лотерейного билета, квитанции или иного документа;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6) дата и мест</w:t>
            </w:r>
            <w:r w:rsidRPr="00080EC9">
              <w:rPr>
                <w:color w:val="000000"/>
                <w:sz w:val="20"/>
                <w:lang w:val="ru-RU"/>
              </w:rPr>
              <w:t>о проведения розыгрыша призового фонда (для тиражной лотереи);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t>7) данные о месте и сроках получения выигрыша;</w:t>
            </w:r>
            <w:r w:rsidRPr="00080EC9">
              <w:rPr>
                <w:lang w:val="ru-RU"/>
              </w:rPr>
              <w:br/>
            </w:r>
            <w:r w:rsidRPr="00080EC9">
              <w:rPr>
                <w:color w:val="000000"/>
                <w:sz w:val="20"/>
                <w:lang w:val="ru-RU"/>
              </w:rPr>
              <w:lastRenderedPageBreak/>
              <w:t>8) размер призового фонда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lastRenderedPageBreak/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136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лотереи требования о соответствии информации, содержащейся в лотерейных билетах, </w:t>
            </w:r>
            <w:r w:rsidRPr="00080EC9">
              <w:rPr>
                <w:color w:val="000000"/>
                <w:sz w:val="20"/>
                <w:lang w:val="ru-RU"/>
              </w:rPr>
              <w:t>квитанциях или иных документах, требованиям законодательства Республики Казахстан о языках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54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>Соблюдение оператором лотереи требования к проведению розыгрыша призового фонда в соответствии со статьей 13 Закона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  <w:tr w:rsidR="00A8695F" w:rsidRPr="00080EC9">
        <w:trPr>
          <w:trHeight w:val="207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Default="00080E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20"/>
              <w:ind w:left="20"/>
              <w:rPr>
                <w:lang w:val="ru-RU"/>
              </w:rPr>
            </w:pPr>
            <w:r w:rsidRPr="00080EC9">
              <w:rPr>
                <w:color w:val="000000"/>
                <w:sz w:val="20"/>
                <w:lang w:val="ru-RU"/>
              </w:rPr>
              <w:t xml:space="preserve">Соблюдение оператором </w:t>
            </w:r>
            <w:r w:rsidRPr="00080EC9">
              <w:rPr>
                <w:color w:val="000000"/>
                <w:sz w:val="20"/>
                <w:lang w:val="ru-RU"/>
              </w:rPr>
              <w:t>лотереи обязанности ежеквартально направлять на развитие спорта не менее десяти процентов от разницы между выручкой от реализованных лотерейных билетов, квитанций или иных документов, зарегистрированных лотерейных ставок и призовым фондом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5F" w:rsidRPr="00080EC9" w:rsidRDefault="00080EC9">
            <w:pPr>
              <w:spacing w:after="0"/>
              <w:rPr>
                <w:lang w:val="ru-RU"/>
              </w:rPr>
            </w:pPr>
            <w:r w:rsidRPr="00080EC9">
              <w:rPr>
                <w:lang w:val="ru-RU"/>
              </w:rPr>
              <w:br/>
            </w:r>
          </w:p>
        </w:tc>
      </w:tr>
    </w:tbl>
    <w:p w:rsidR="00A8695F" w:rsidRPr="00080EC9" w:rsidRDefault="00080EC9">
      <w:pPr>
        <w:spacing w:after="0"/>
        <w:rPr>
          <w:lang w:val="ru-RU"/>
        </w:rPr>
      </w:pPr>
      <w:r w:rsidRPr="00080EC9">
        <w:rPr>
          <w:color w:val="000000"/>
          <w:sz w:val="20"/>
          <w:lang w:val="ru-RU"/>
        </w:rPr>
        <w:t>Должностное (ые) лицо (а) ________________________________________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080EC9">
        <w:rPr>
          <w:color w:val="000000"/>
          <w:sz w:val="20"/>
          <w:lang w:val="ru-RU"/>
        </w:rPr>
        <w:t xml:space="preserve"> (должность) (подпись) (фамилия, имя,</w:t>
      </w:r>
      <w:r w:rsidRPr="00080EC9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080EC9">
        <w:rPr>
          <w:color w:val="000000"/>
          <w:sz w:val="20"/>
          <w:lang w:val="ru-RU"/>
        </w:rPr>
        <w:t xml:space="preserve"> отчество (при его наличии))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>Руководитель проверяемого субъекта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>______________________________</w:t>
      </w:r>
      <w:r w:rsidRPr="00080EC9">
        <w:rPr>
          <w:color w:val="000000"/>
          <w:sz w:val="20"/>
          <w:lang w:val="ru-RU"/>
        </w:rPr>
        <w:t>____________________________________</w:t>
      </w:r>
      <w:r w:rsidRPr="00080EC9">
        <w:rPr>
          <w:lang w:val="ru-RU"/>
        </w:rPr>
        <w:br/>
      </w:r>
      <w:r w:rsidRPr="00080EC9">
        <w:rPr>
          <w:color w:val="000000"/>
          <w:sz w:val="20"/>
          <w:lang w:val="ru-RU"/>
        </w:rPr>
        <w:t>(должность) (подпись) (фамилия, имя, отчество (при его наличии))</w:t>
      </w:r>
    </w:p>
    <w:p w:rsidR="00A8695F" w:rsidRPr="00080EC9" w:rsidRDefault="00080EC9">
      <w:pPr>
        <w:spacing w:after="0"/>
        <w:rPr>
          <w:lang w:val="ru-RU"/>
        </w:rPr>
      </w:pPr>
      <w:r w:rsidRPr="00080EC9">
        <w:rPr>
          <w:lang w:val="ru-RU"/>
        </w:rPr>
        <w:br/>
      </w:r>
      <w:r w:rsidRPr="00080EC9">
        <w:rPr>
          <w:lang w:val="ru-RU"/>
        </w:rPr>
        <w:br/>
      </w:r>
    </w:p>
    <w:p w:rsidR="00A8695F" w:rsidRPr="00080EC9" w:rsidRDefault="00080EC9">
      <w:pPr>
        <w:pStyle w:val="disclaimer"/>
        <w:rPr>
          <w:lang w:val="ru-RU"/>
        </w:rPr>
      </w:pPr>
      <w:r w:rsidRPr="00080EC9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8695F" w:rsidRPr="00080EC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5F"/>
    <w:rsid w:val="00080EC9"/>
    <w:rsid w:val="00A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B1043-CD6A-4AFE-A71B-51FF3F57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2017-01-16T12:31:00Z</dcterms:created>
  <dcterms:modified xsi:type="dcterms:W3CDTF">2017-01-16T12:31:00Z</dcterms:modified>
</cp:coreProperties>
</file>