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56"/>
        <w:gridCol w:w="5173"/>
      </w:tblGrid>
      <w:tr w:rsidR="0055411A" w:rsidRPr="0055411A" w:rsidTr="00021CAD">
        <w:tc>
          <w:tcPr>
            <w:tcW w:w="4077" w:type="dxa"/>
            <w:shd w:val="clear" w:color="auto" w:fill="auto"/>
          </w:tcPr>
          <w:p w:rsidR="0055411A" w:rsidRPr="0055411A" w:rsidRDefault="0055411A" w:rsidP="0055411A">
            <w:pPr>
              <w:spacing w:after="0"/>
              <w:rPr>
                <w:rFonts w:ascii="Times New Roman" w:hAnsi="Times New Roman" w:cs="Times New Roman"/>
                <w:sz w:val="28"/>
                <w:szCs w:val="28"/>
                <w:lang w:val="ru-RU"/>
              </w:rPr>
            </w:pPr>
          </w:p>
        </w:tc>
        <w:tc>
          <w:tcPr>
            <w:tcW w:w="5268" w:type="dxa"/>
            <w:shd w:val="clear" w:color="auto" w:fill="auto"/>
          </w:tcPr>
          <w:p w:rsidR="0055411A" w:rsidRPr="0055411A" w:rsidRDefault="0055411A" w:rsidP="0055411A">
            <w:pPr>
              <w:spacing w:after="0"/>
              <w:jc w:val="right"/>
              <w:rPr>
                <w:rFonts w:ascii="Times New Roman" w:hAnsi="Times New Roman" w:cs="Times New Roman"/>
                <w:sz w:val="28"/>
                <w:szCs w:val="28"/>
                <w:lang w:val="ru-RU"/>
              </w:rPr>
            </w:pPr>
            <w:r w:rsidRPr="0055411A">
              <w:rPr>
                <w:rFonts w:ascii="Times New Roman" w:hAnsi="Times New Roman" w:cs="Times New Roman"/>
                <w:sz w:val="28"/>
                <w:szCs w:val="28"/>
                <w:lang w:val="ru-RU"/>
              </w:rPr>
              <w:t>Утверждена</w:t>
            </w:r>
          </w:p>
        </w:tc>
      </w:tr>
      <w:tr w:rsidR="0055411A" w:rsidRPr="0055411A" w:rsidTr="00021CAD">
        <w:tc>
          <w:tcPr>
            <w:tcW w:w="4077" w:type="dxa"/>
            <w:shd w:val="clear" w:color="auto" w:fill="auto"/>
          </w:tcPr>
          <w:p w:rsidR="0055411A" w:rsidRPr="0055411A" w:rsidRDefault="0055411A" w:rsidP="0055411A">
            <w:pPr>
              <w:spacing w:after="0"/>
              <w:rPr>
                <w:rFonts w:ascii="Times New Roman" w:hAnsi="Times New Roman" w:cs="Times New Roman"/>
                <w:sz w:val="28"/>
                <w:szCs w:val="28"/>
                <w:lang w:val="ru-RU"/>
              </w:rPr>
            </w:pPr>
          </w:p>
        </w:tc>
        <w:tc>
          <w:tcPr>
            <w:tcW w:w="5268" w:type="dxa"/>
            <w:shd w:val="clear" w:color="auto" w:fill="auto"/>
          </w:tcPr>
          <w:p w:rsidR="0055411A" w:rsidRPr="0055411A" w:rsidRDefault="0055411A" w:rsidP="0055411A">
            <w:pPr>
              <w:spacing w:after="0"/>
              <w:jc w:val="right"/>
              <w:rPr>
                <w:rFonts w:ascii="Times New Roman" w:hAnsi="Times New Roman" w:cs="Times New Roman"/>
                <w:sz w:val="28"/>
                <w:szCs w:val="28"/>
              </w:rPr>
            </w:pPr>
            <w:r w:rsidRPr="0055411A">
              <w:rPr>
                <w:rFonts w:ascii="Times New Roman" w:hAnsi="Times New Roman" w:cs="Times New Roman"/>
                <w:sz w:val="28"/>
                <w:szCs w:val="28"/>
                <w:lang w:val="ru-RU"/>
              </w:rPr>
              <w:t>Постановлением Правительства №</w:t>
            </w:r>
            <w:r w:rsidRPr="0055411A">
              <w:rPr>
                <w:rFonts w:ascii="Times New Roman" w:hAnsi="Times New Roman" w:cs="Times New Roman"/>
                <w:sz w:val="28"/>
                <w:szCs w:val="28"/>
              </w:rPr>
              <w:t xml:space="preserve"> 375</w:t>
            </w:r>
          </w:p>
        </w:tc>
      </w:tr>
      <w:tr w:rsidR="0055411A" w:rsidRPr="0055411A" w:rsidTr="00021CAD">
        <w:tc>
          <w:tcPr>
            <w:tcW w:w="4077" w:type="dxa"/>
            <w:shd w:val="clear" w:color="auto" w:fill="auto"/>
          </w:tcPr>
          <w:p w:rsidR="0055411A" w:rsidRPr="0055411A" w:rsidRDefault="0055411A" w:rsidP="0055411A">
            <w:pPr>
              <w:spacing w:after="0"/>
              <w:rPr>
                <w:rFonts w:ascii="Times New Roman" w:hAnsi="Times New Roman" w:cs="Times New Roman"/>
                <w:sz w:val="28"/>
                <w:szCs w:val="28"/>
                <w:lang w:val="ru-RU"/>
              </w:rPr>
            </w:pPr>
          </w:p>
        </w:tc>
        <w:tc>
          <w:tcPr>
            <w:tcW w:w="5268" w:type="dxa"/>
            <w:shd w:val="clear" w:color="auto" w:fill="auto"/>
          </w:tcPr>
          <w:p w:rsidR="0055411A" w:rsidRPr="0055411A" w:rsidRDefault="0055411A" w:rsidP="0055411A">
            <w:pPr>
              <w:spacing w:after="0"/>
              <w:jc w:val="right"/>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от  </w:t>
            </w:r>
            <w:r w:rsidRPr="0055411A">
              <w:rPr>
                <w:rFonts w:ascii="Times New Roman" w:hAnsi="Times New Roman" w:cs="Times New Roman"/>
                <w:sz w:val="28"/>
                <w:szCs w:val="28"/>
              </w:rPr>
              <w:t xml:space="preserve">27 </w:t>
            </w:r>
            <w:r w:rsidRPr="0055411A">
              <w:rPr>
                <w:rFonts w:ascii="Times New Roman" w:hAnsi="Times New Roman" w:cs="Times New Roman"/>
                <w:sz w:val="28"/>
                <w:szCs w:val="28"/>
                <w:lang w:val="ru-RU"/>
              </w:rPr>
              <w:t>м</w:t>
            </w:r>
            <w:proofErr w:type="spellStart"/>
            <w:r w:rsidRPr="0055411A">
              <w:rPr>
                <w:rFonts w:ascii="Times New Roman" w:hAnsi="Times New Roman" w:cs="Times New Roman"/>
                <w:sz w:val="28"/>
                <w:szCs w:val="28"/>
              </w:rPr>
              <w:t>ая</w:t>
            </w:r>
            <w:proofErr w:type="spellEnd"/>
            <w:r w:rsidRPr="0055411A">
              <w:rPr>
                <w:rFonts w:ascii="Times New Roman" w:hAnsi="Times New Roman" w:cs="Times New Roman"/>
                <w:sz w:val="28"/>
                <w:szCs w:val="28"/>
                <w:lang w:val="ru-RU"/>
              </w:rPr>
              <w:t xml:space="preserve">  2014 г.</w:t>
            </w:r>
          </w:p>
        </w:tc>
      </w:tr>
    </w:tbl>
    <w:p w:rsidR="0055411A" w:rsidRPr="0055411A" w:rsidRDefault="0055411A" w:rsidP="0055411A">
      <w:pPr>
        <w:spacing w:after="0"/>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МЕТОДОЛОГИЯ</w:t>
      </w: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планирования государственного контроля предпринимательской деятельности на основании оценки критериев риска в области</w:t>
      </w: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контроля, осуществляемого </w:t>
      </w:r>
      <w:bookmarkStart w:id="0" w:name="_GoBack"/>
      <w:r w:rsidRPr="0055411A">
        <w:rPr>
          <w:rFonts w:ascii="Times New Roman" w:hAnsi="Times New Roman" w:cs="Times New Roman"/>
          <w:b/>
          <w:sz w:val="28"/>
          <w:szCs w:val="28"/>
          <w:lang w:val="ru-RU"/>
        </w:rPr>
        <w:t>Государственной инспекцией труда</w:t>
      </w:r>
      <w:bookmarkEnd w:id="0"/>
    </w:p>
    <w:p w:rsidR="0055411A" w:rsidRPr="0055411A" w:rsidRDefault="0055411A" w:rsidP="0055411A">
      <w:pPr>
        <w:spacing w:after="0"/>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I. Общие положения</w:t>
      </w:r>
    </w:p>
    <w:p w:rsidR="0055411A" w:rsidRPr="0055411A" w:rsidRDefault="0055411A" w:rsidP="0055411A">
      <w:pPr>
        <w:spacing w:after="0"/>
        <w:jc w:val="center"/>
        <w:rPr>
          <w:rFonts w:ascii="Times New Roman" w:hAnsi="Times New Roman" w:cs="Times New Roman"/>
          <w:b/>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 Методология планирования государственного контроля предпринимательской деятельности на основании оценки критериев риска в области контроля, осуществляемого Государственной инспекцией труда (в дальнейшем – Методология) разработана в соответствии с Общей методологии планирования государственного контроля предпринимательской деятельности на основе анализа критериев риска, утвержденной Постановлением Правительства № 694 от 5 сентября 2013 г.</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2. В основу Методологии заложены критерии риска, релевантные для области контроля, осуществляемого Государственной инспекцией труда (в дальнейшем – Инспекция), с присуждением соответствующей оценки и соотнесением значимости каждого критерия риска, в зависимости от его релевантности для общего уровня риска.</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3. Уровень риска, установленный для каждого предпринимателя, определяет частоту и интенсивность необходимых мер контроля деятельности данного предпринимателя.</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II. Установление критериев риска</w:t>
      </w:r>
    </w:p>
    <w:p w:rsidR="0055411A" w:rsidRPr="0055411A" w:rsidRDefault="0055411A" w:rsidP="0055411A">
      <w:pPr>
        <w:spacing w:after="0"/>
        <w:ind w:firstLine="720"/>
        <w:jc w:val="center"/>
        <w:rPr>
          <w:rFonts w:ascii="Times New Roman" w:hAnsi="Times New Roman" w:cs="Times New Roman"/>
          <w:b/>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4. Критерий риска суммирует набор обстоятельств или свойств субъекта и/или объекта, подлежащего контролю, и/или предыдущих взаимоотношений подконтрольного предпринимателя с Инспекцией, наличие и интенсивность которых указывают на вероятность причинения вреда жизни и здоровью работников, нарушения трудовых прав и прав на достойные условия труда.</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5. Критерии риска группируются в зависимости от субъекта контроля, объекта контроля и от предыдущих взаимоотношений с Инспекцией.</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6. На область контроля, осуществляемого Инспекцией, приходятся критерии риска, соответствующие:</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a) целям и функциям, установленным законом;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b) типу отношений и социальным ценностям, которые защищает;</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c) ущербу, который необходимо предотвратить.</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7. Выбранные критерии риска должны соблюдать следующие принципы:</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a) соответствовать целям деятельности Инспекции;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b) охватывать все предприятия, подлежащие контролю, осуществляемому Инспекцией;</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c) основываться на достоверной, точной и доступной информации. </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В первую очередь, отбираются критерии, которые позволяют возможность присваивать уровень риска конкретному лицу на основе ценной информации (статистических данных), которая может быть получена из внешних источников и по мере необходимости; </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d) могут быть взвешенными;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e) может быть обеспечена возможность классификации каждого критерия по интенсивности риска, который он представляет;</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f) соотноситься с многосторонним характером источников риска. Существенно важно, чтобы дублировались и отбирались критерии, относящиеся к предмету, объекту и предыдущим взаимоотношениям с контролирующим органом.</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8. Критерии риска, используемые инспекцией:</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а) риск травмирования;</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b) задолженности по выплате заработной платы;</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с) число работников;</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d) период, в котором предприятие осуществляет деятельность, подлежащую контролю;</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e) дата проведения последней проверки;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f) предыдущие нарушения.</w:t>
      </w:r>
    </w:p>
    <w:p w:rsidR="0055411A" w:rsidRPr="0055411A" w:rsidRDefault="0055411A" w:rsidP="0055411A">
      <w:pPr>
        <w:spacing w:after="0"/>
        <w:ind w:firstLine="720"/>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III. Распределение интенсивности риска</w:t>
      </w:r>
    </w:p>
    <w:p w:rsidR="0055411A" w:rsidRPr="0055411A" w:rsidRDefault="0055411A" w:rsidP="0055411A">
      <w:pPr>
        <w:spacing w:after="0"/>
        <w:ind w:firstLine="720"/>
        <w:jc w:val="center"/>
        <w:rPr>
          <w:rFonts w:ascii="Times New Roman" w:hAnsi="Times New Roman" w:cs="Times New Roman"/>
          <w:b/>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9. Каждый критерий риска распределяется по степеням/уровням интенсивности, которые оцениваются согласно значению степени риска. Масштаб оценки находится в диапазоне от 1 до 5, где «1» означает минимальную и «5» максимальную степень риска.</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10. При присуждении цифровых значений учитывается весомость каждого уровня в рамках критерия риска и равномерность перемещения с одного уровня риска на другой, таким образом, чтобы в одном всеобъемлющем реестре были отражены соответствующие уровни возможных рисков от минимального до максимального.</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11. Оценки присуждаются следующим образом: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 риск травмирования (таблица 1).</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несчастные случаи на производстве обусловлены угрозами, присущими: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а) экономической деятельности (согласно Классификатору видов экономической деятельности Молдовы CAEM Rev.2, издание 2009);</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o-RO"/>
        </w:rPr>
        <w:t>b</w:t>
      </w:r>
      <w:r w:rsidRPr="0055411A">
        <w:rPr>
          <w:rFonts w:ascii="Times New Roman" w:hAnsi="Times New Roman" w:cs="Times New Roman"/>
          <w:sz w:val="28"/>
          <w:szCs w:val="28"/>
          <w:lang w:val="ru-RU"/>
        </w:rPr>
        <w:t>) оборудованию и средствам, используемым в процессе труда;</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с) производственным заданиям, методам труда, технологическим процессам;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d) трудовым отношениям, уровню профессиональной подготовки, уровню знаний в области охраны здоровья и безопасности труда работников и работодателей; </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е) превышению нормальной продолжительности рабочего времени;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f) привлечению несовершеннолетних, женщин к запрещенным для них работам;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g) производственной, окружающей и социальной среде.</w:t>
      </w:r>
    </w:p>
    <w:p w:rsidR="0055411A" w:rsidRPr="0055411A" w:rsidRDefault="0055411A" w:rsidP="0055411A">
      <w:pPr>
        <w:spacing w:after="0"/>
        <w:ind w:firstLine="720"/>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Таблица 1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Экономическая деятельность (в соответствии с Классификатором видов экономической деятельности Молдовы CAEM Rev.2, издание 2009)</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tabs>
                <w:tab w:val="left" w:pos="5535"/>
              </w:tabs>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Деятельность гостиниц и предприятий общественного питания (I), образование (P), финансовые и страховые предприятия (K), профессиональная, научная и техническая деятельность (M)</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Добыча полезных ископаемых (B), предоставление прочих видов услуг (S), искусство, развлечения и отдых (R), административная деятельность и дополнительные услуги в данной области (N)</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Операции с недвижимым имуществом (L), оптовая и розничная торговля; техническое обслуживание и ремонт автотранспортных средств и мотоциклов (G), водоснабжение; очистка и обработка отходов и восстановительные работы (E)</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Строительство (F), сельское, лесное и рыбное хозяйство (A), производство и обеспечение электро- и теплоэнергия, газ и вода</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перерабатывающая промышленность (C), транспорт и хранение (H), государственное управление и оборона; обязательное социальное страхование (O), здравоохранение и социальные услуги (Q), информационные услуги и связь (J)</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 задолженности по выплате заработной платы (таблица 2).</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ущерб, причиненный работникам, семейному бюджету, государственному бюджету, бюджету социального и медицинского страхования.</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Продолжительность задолженности по выплате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заработной платы</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До 2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2-3 месяца  </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3-5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5-6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6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 число работников (таблица 3).</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xml:space="preserve">: большое количество работников предполагает разнообразные схемы организационной структуры предприятия, а наличие различных категорий работников требует от работодателя больших и разнообразных усилий в процессе организации и обеспечения каждому работнику достойных условий труда (соответствие положениям законодательства, уровень заработной платы, установленной и выплачиваемой в соответствии с требованиями законодательства, охрана здоровья и безопасность труда на рабочем месте и др.).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3</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Число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До 10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10-20 работников  </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20-50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50-100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100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 период, за который проверенный предприниматель осуществляет деятельность, подлежащую контролю (таблица 4).</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чем больше продолжительность деятельности предпринимателя на рынке, тем лучше он знаком с законодательством, тем более внимательно относится к своей репутации и чаще внедряет и использует системы менеджмента охраны здоровья и безопасности труда и применения трудового законодательства.</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Таблица 4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Период деятельности предприятия</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20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15-20 лет  </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10-15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5-10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До 5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 дата проведения последней проверки (таблица 5).</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xml:space="preserve">: чем продолжительнее период, в который предприниматель, подлежащий контролю, не проверялся, тем больше сомнение относительно его соответствия нормативным требованиям. Таким образом, минимальный риск присуждается предпринимателям, проверенным недавно, а максимальный риск – предпринимателям, в отношении которых государственный контроль не проводился давно.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5</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Промежуток времени с момента осуществления последней проверки</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1 года</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2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3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4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5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6) предыдущие нарушения (таблица  6).</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отсутствие нарушений на дату последней проверки указывает на готовность предпринимателя соблюдать закон и, следовательно, более низкий риск нарушения закона. Этот факт может освободить экономического агента от последующей проверки. Наличие нарушений на последнюю дату осуществления проверки присуждает экономическому агенту высокую степень риска.</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6</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Нарушения, выявленные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при последней проверке</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незначительные нарушения (с представлением или без представления предписания)</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незначительные нарушения без причинения прямого ущерба работникам (составлен протокол об административном правонарушении)</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нарушения и причинен прямой ущерб работникам (составлен протокол об административном правонарушении, возмещен ущерб)</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нарушения, которые входят в состав правонарушения и причинили незначительный ущерб работникам (применены санкции, возмещен ущерб, приостановка функционирования объектов)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нарушения, которые являются составом преступления и причинили значительный ущерб работникам (применены санкции, возмещен ущерб, приостановка объектов, уведомление органов уголовного преследования)</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IV.</w:t>
      </w:r>
      <w:r w:rsidRPr="0055411A">
        <w:rPr>
          <w:rFonts w:ascii="Times New Roman" w:hAnsi="Times New Roman" w:cs="Times New Roman"/>
          <w:sz w:val="28"/>
          <w:szCs w:val="28"/>
          <w:lang w:val="ru-RU"/>
        </w:rPr>
        <w:t xml:space="preserve"> О</w:t>
      </w:r>
      <w:r w:rsidRPr="0055411A">
        <w:rPr>
          <w:rFonts w:ascii="Times New Roman" w:hAnsi="Times New Roman" w:cs="Times New Roman"/>
          <w:b/>
          <w:sz w:val="28"/>
          <w:szCs w:val="28"/>
          <w:lang w:val="ru-RU"/>
        </w:rPr>
        <w:t>ценка критериев</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12. Оценка каждого критерия устанавливается по отношению ко всем отобранным критериям, принимая во внимание важность конкретного критерия в специфической области контроля (Таблица 7). Одинаковые критерии могут иметь различную релевантность (и весомость), в зависимости от области контроля.</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13. Весомость риска определяется по каждому отдельному критерию риска в долях, таким образом, чтобы суммарная величина всех критериев составила единицу. Присуждение более высокой весомости одному критерию требует снижения весомости для других критериев.</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7</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3283"/>
      </w:tblGrid>
      <w:tr w:rsidR="0055411A" w:rsidRPr="0055411A" w:rsidTr="00021CAD">
        <w:tc>
          <w:tcPr>
            <w:tcW w:w="5954" w:type="dxa"/>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Критерии</w:t>
            </w:r>
          </w:p>
        </w:tc>
        <w:tc>
          <w:tcPr>
            <w:tcW w:w="3283" w:type="dxa"/>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Весомость</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Риск травмирования</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0,3</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Задолженность по выплате заработной платы</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0,1</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Количество работников</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0,1</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Период деятельности предприятия</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0,2</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Промежуток времени с момента осуществления последней проверки</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0,2</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Нарушения, выявленные при последней проверке</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0,1</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Всего</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1,0</w:t>
            </w:r>
          </w:p>
        </w:tc>
      </w:tr>
    </w:tbl>
    <w:p w:rsidR="0055411A" w:rsidRPr="0055411A" w:rsidRDefault="0055411A" w:rsidP="0055411A">
      <w:pPr>
        <w:tabs>
          <w:tab w:val="left" w:pos="1120"/>
        </w:tabs>
        <w:spacing w:after="0"/>
        <w:ind w:firstLine="720"/>
        <w:jc w:val="both"/>
        <w:rPr>
          <w:rFonts w:ascii="Times New Roman" w:hAnsi="Times New Roman" w:cs="Times New Roman"/>
          <w:sz w:val="28"/>
          <w:szCs w:val="28"/>
          <w:lang w:val="ru-RU"/>
        </w:rPr>
      </w:pPr>
    </w:p>
    <w:p w:rsidR="0055411A" w:rsidRPr="0055411A" w:rsidRDefault="0055411A" w:rsidP="0055411A">
      <w:pPr>
        <w:tabs>
          <w:tab w:val="left" w:pos="1120"/>
        </w:tabs>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14. Весомость, присвоенная каждому критерию риска, пересматривается периодически, согласно результатам предыдущих проверок и собранной информацией. В случае если со временем критерий теряет свою актуальность, его доля по отношению к остальным применяемым критериям понижается.</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V. Применение критериев по отношению к физическим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и юридическим лицам</w:t>
      </w:r>
    </w:p>
    <w:p w:rsidR="0055411A" w:rsidRPr="0055411A" w:rsidRDefault="0055411A" w:rsidP="0055411A">
      <w:pPr>
        <w:spacing w:after="0"/>
        <w:jc w:val="center"/>
        <w:textAlignment w:val="top"/>
        <w:rPr>
          <w:rFonts w:ascii="Times New Roman" w:hAnsi="Times New Roman" w:cs="Times New Roman"/>
          <w:b/>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15. После определения конкретных критериев, которые будут использоваться, и их весомости,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                         </w:t>
      </w:r>
      <m:oMath>
        <m:sSub>
          <m:sSubPr>
            <m:ctrlPr>
              <w:rPr>
                <w:rFonts w:ascii="Cambria Math" w:hAnsi="Times New Roman" w:cs="Times New Roman"/>
                <w:i/>
                <w:lang w:val="ro-MD"/>
              </w:rPr>
            </m:ctrlPr>
          </m:sSubPr>
          <m:e>
            <m:r>
              <w:rPr>
                <w:rFonts w:ascii="Cambria Math" w:hAnsi="Cambria Math" w:cs="Times New Roman"/>
                <w:lang w:val="ro-MD"/>
              </w:rPr>
              <m:t>R</m:t>
            </m:r>
          </m:e>
          <m:sub>
            <m:r>
              <w:rPr>
                <w:rFonts w:ascii="Cambria Math" w:hAnsi="Cambria Math" w:cs="Times New Roman"/>
                <w:lang w:val="ro-MD"/>
              </w:rPr>
              <m:t>g</m:t>
            </m:r>
          </m:sub>
        </m:sSub>
        <m:r>
          <w:rPr>
            <w:rFonts w:ascii="Cambria Math" w:hAnsi="Times New Roman" w:cs="Times New Roman"/>
            <w:lang w:val="ro-MD"/>
          </w:rPr>
          <m:t>=</m:t>
        </m:r>
        <m:d>
          <m:dPr>
            <m:ctrlPr>
              <w:rPr>
                <w:rFonts w:ascii="Cambria Math" w:hAnsi="Times New Roman" w:cs="Times New Roman"/>
                <w:i/>
                <w:lang w:val="ro-MD"/>
              </w:rPr>
            </m:ctrlPr>
          </m:dPr>
          <m:e>
            <m:sSub>
              <m:sSubPr>
                <m:ctrlPr>
                  <w:rPr>
                    <w:rFonts w:ascii="Cambria Math" w:hAnsi="Times New Roman" w:cs="Times New Roman"/>
                    <w:i/>
                    <w:lang w:val="ro-MD"/>
                  </w:rPr>
                </m:ctrlPr>
              </m:sSubPr>
              <m:e>
                <m:r>
                  <w:rPr>
                    <w:rFonts w:ascii="Cambria Math" w:hAnsi="Cambria Math" w:cs="Times New Roman"/>
                    <w:lang w:val="ro-MD"/>
                  </w:rPr>
                  <m:t>w</m:t>
                </m:r>
              </m:e>
              <m:sub>
                <m:r>
                  <w:rPr>
                    <w:rFonts w:ascii="Cambria Math" w:hAnsi="Times New Roman" w:cs="Times New Roman"/>
                    <w:lang w:val="ro-MD"/>
                  </w:rPr>
                  <m:t>1</m:t>
                </m:r>
              </m:sub>
            </m:sSub>
            <m:sSub>
              <m:sSubPr>
                <m:ctrlPr>
                  <w:rPr>
                    <w:rFonts w:ascii="Cambria Math" w:hAnsi="Times New Roman" w:cs="Times New Roman"/>
                    <w:i/>
                    <w:lang w:val="ro-MD"/>
                  </w:rPr>
                </m:ctrlPr>
              </m:sSubPr>
              <m:e>
                <m:r>
                  <m:rPr>
                    <m:sty m:val="p"/>
                  </m:rPr>
                  <w:rPr>
                    <w:rFonts w:ascii="Cambria Math" w:hAnsi="Times New Roman" w:cs="Times New Roman"/>
                    <w:lang w:val="ro-MD"/>
                  </w:rPr>
                  <m:t>R</m:t>
                </m:r>
              </m:e>
              <m:sub>
                <m:r>
                  <w:rPr>
                    <w:rFonts w:ascii="Cambria Math" w:hAnsi="Times New Roman" w:cs="Times New Roman"/>
                    <w:lang w:val="ro-MD"/>
                  </w:rPr>
                  <m:t>1</m:t>
                </m:r>
              </m:sub>
            </m:sSub>
            <m:r>
              <w:rPr>
                <w:rFonts w:ascii="Cambria Math" w:hAnsi="Times New Roman" w:cs="Times New Roman"/>
                <w:lang w:val="ro-MD"/>
              </w:rPr>
              <m:t>+</m:t>
            </m:r>
            <m:sSub>
              <m:sSubPr>
                <m:ctrlPr>
                  <w:rPr>
                    <w:rFonts w:ascii="Cambria Math" w:hAnsi="Times New Roman" w:cs="Times New Roman"/>
                    <w:i/>
                    <w:lang w:val="ro-MD"/>
                  </w:rPr>
                </m:ctrlPr>
              </m:sSubPr>
              <m:e>
                <m:r>
                  <w:rPr>
                    <w:rFonts w:ascii="Cambria Math" w:hAnsi="Cambria Math" w:cs="Times New Roman"/>
                    <w:lang w:val="ro-MD"/>
                  </w:rPr>
                  <m:t>w</m:t>
                </m:r>
              </m:e>
              <m:sub>
                <m:r>
                  <w:rPr>
                    <w:rFonts w:ascii="Cambria Math" w:hAnsi="Times New Roman" w:cs="Times New Roman"/>
                    <w:lang w:val="ro-MD"/>
                  </w:rPr>
                  <m:t>2</m:t>
                </m:r>
              </m:sub>
            </m:sSub>
            <m:sSub>
              <m:sSubPr>
                <m:ctrlPr>
                  <w:rPr>
                    <w:rFonts w:ascii="Cambria Math" w:hAnsi="Times New Roman" w:cs="Times New Roman"/>
                    <w:i/>
                    <w:lang w:val="ro-MD"/>
                  </w:rPr>
                </m:ctrlPr>
              </m:sSubPr>
              <m:e>
                <m:r>
                  <m:rPr>
                    <m:sty m:val="p"/>
                  </m:rPr>
                  <w:rPr>
                    <w:rFonts w:ascii="Cambria Math" w:hAnsi="Times New Roman" w:cs="Times New Roman"/>
                    <w:lang w:val="ro-MD"/>
                  </w:rPr>
                  <m:t>R</m:t>
                </m:r>
              </m:e>
              <m:sub>
                <m:r>
                  <w:rPr>
                    <w:rFonts w:ascii="Cambria Math" w:hAnsi="Times New Roman" w:cs="Times New Roman"/>
                    <w:lang w:val="ro-MD"/>
                  </w:rPr>
                  <m:t>2</m:t>
                </m:r>
              </m:sub>
            </m:sSub>
            <m:r>
              <w:rPr>
                <w:rFonts w:ascii="Cambria Math" w:hAnsi="Times New Roman" w:cs="Times New Roman"/>
                <w:lang w:val="ro-MD"/>
              </w:rPr>
              <m:t>+</m:t>
            </m:r>
            <m:r>
              <w:rPr>
                <w:rFonts w:ascii="Cambria Math" w:hAnsi="Cambria Math" w:cs="Times New Roman"/>
                <w:lang w:val="ro-MD"/>
              </w:rPr>
              <m:t>⋯</m:t>
            </m:r>
            <m:r>
              <w:rPr>
                <w:rFonts w:ascii="Cambria Math" w:hAnsi="Times New Roman" w:cs="Times New Roman"/>
                <w:lang w:val="ro-MD"/>
              </w:rPr>
              <m:t>+</m:t>
            </m:r>
            <m:sSub>
              <m:sSubPr>
                <m:ctrlPr>
                  <w:rPr>
                    <w:rFonts w:ascii="Cambria Math" w:hAnsi="Times New Roman" w:cs="Times New Roman"/>
                    <w:i/>
                    <w:lang w:val="ro-MD"/>
                  </w:rPr>
                </m:ctrlPr>
              </m:sSubPr>
              <m:e>
                <m:r>
                  <w:rPr>
                    <w:rFonts w:ascii="Cambria Math" w:hAnsi="Cambria Math" w:cs="Times New Roman"/>
                    <w:lang w:val="ro-MD"/>
                  </w:rPr>
                  <m:t>w</m:t>
                </m:r>
              </m:e>
              <m:sub>
                <m:r>
                  <w:rPr>
                    <w:rFonts w:ascii="Cambria Math" w:hAnsi="Cambria Math" w:cs="Times New Roman"/>
                    <w:lang w:val="ro-MD"/>
                  </w:rPr>
                  <m:t>n</m:t>
                </m:r>
              </m:sub>
            </m:sSub>
            <m:sSub>
              <m:sSubPr>
                <m:ctrlPr>
                  <w:rPr>
                    <w:rFonts w:ascii="Cambria Math" w:hAnsi="Times New Roman" w:cs="Times New Roman"/>
                    <w:i/>
                    <w:lang w:val="ro-MD"/>
                  </w:rPr>
                </m:ctrlPr>
              </m:sSubPr>
              <m:e>
                <m:r>
                  <m:rPr>
                    <m:sty m:val="p"/>
                  </m:rPr>
                  <w:rPr>
                    <w:rFonts w:ascii="Cambria Math" w:hAnsi="Times New Roman" w:cs="Times New Roman"/>
                    <w:lang w:val="ro-MD"/>
                  </w:rPr>
                  <m:t>R</m:t>
                </m:r>
              </m:e>
              <m:sub>
                <m:r>
                  <w:rPr>
                    <w:rFonts w:ascii="Cambria Math" w:hAnsi="Cambria Math" w:cs="Times New Roman"/>
                    <w:lang w:val="ro-MD"/>
                  </w:rPr>
                  <m:t>n</m:t>
                </m:r>
              </m:sub>
            </m:sSub>
          </m:e>
        </m:d>
        <m:r>
          <w:rPr>
            <w:rFonts w:ascii="Cambria Math" w:hAnsi="Times New Roman" w:cs="Times New Roman"/>
            <w:lang w:val="ro-MD"/>
          </w:rPr>
          <m:t>×</m:t>
        </m:r>
        <m:r>
          <w:rPr>
            <w:rFonts w:ascii="Cambria Math" w:hAnsi="Times New Roman" w:cs="Times New Roman"/>
            <w:lang w:val="ro-MD"/>
          </w:rPr>
          <m:t>200</m:t>
        </m:r>
      </m:oMath>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или                                                              </w:t>
      </w:r>
      <m:oMath>
        <m:sSub>
          <m:sSubPr>
            <m:ctrlPr>
              <w:rPr>
                <w:rFonts w:ascii="Cambria Math" w:hAnsi="Times New Roman" w:cs="Times New Roman"/>
                <w:i/>
                <w:lang w:val="ro-MD"/>
              </w:rPr>
            </m:ctrlPr>
          </m:sSubPr>
          <m:e>
            <m:r>
              <w:rPr>
                <w:rFonts w:ascii="Cambria Math" w:hAnsi="Cambria Math" w:cs="Times New Roman"/>
                <w:lang w:val="ro-MD"/>
              </w:rPr>
              <m:t>R</m:t>
            </m:r>
          </m:e>
          <m:sub>
            <m:r>
              <w:rPr>
                <w:rFonts w:ascii="Cambria Math" w:hAnsi="Cambria Math" w:cs="Times New Roman"/>
                <w:lang w:val="ro-MD"/>
              </w:rPr>
              <m:t>g</m:t>
            </m:r>
          </m:sub>
        </m:sSub>
        <m:r>
          <w:rPr>
            <w:rFonts w:ascii="Cambria Math" w:hAnsi="Times New Roman" w:cs="Times New Roman"/>
            <w:lang w:val="ro-MD"/>
          </w:rPr>
          <m:t>=</m:t>
        </m:r>
        <m:d>
          <m:dPr>
            <m:ctrlPr>
              <w:rPr>
                <w:rFonts w:ascii="Cambria Math" w:hAnsi="Times New Roman" w:cs="Times New Roman"/>
                <w:i/>
                <w:lang w:val="ro-MD"/>
              </w:rPr>
            </m:ctrlPr>
          </m:dPr>
          <m:e>
            <m:nary>
              <m:naryPr>
                <m:chr m:val="∑"/>
                <m:limLoc m:val="undOvr"/>
                <m:ctrlPr>
                  <w:rPr>
                    <w:rFonts w:ascii="Cambria Math" w:hAnsi="Times New Roman" w:cs="Times New Roman"/>
                    <w:i/>
                    <w:lang w:val="ro-MD"/>
                  </w:rPr>
                </m:ctrlPr>
              </m:naryPr>
              <m:sub>
                <m:r>
                  <w:rPr>
                    <w:rFonts w:ascii="Cambria Math" w:hAnsi="Times New Roman" w:cs="Times New Roman"/>
                    <w:lang w:val="ro-MD"/>
                  </w:rPr>
                  <m:t>1</m:t>
                </m:r>
              </m:sub>
              <m:sup>
                <m:r>
                  <w:rPr>
                    <w:rFonts w:ascii="Cambria Math" w:hAnsi="Cambria Math" w:cs="Times New Roman"/>
                    <w:lang w:val="ro-MD"/>
                  </w:rPr>
                  <m:t>n</m:t>
                </m:r>
              </m:sup>
              <m:e>
                <m:r>
                  <w:rPr>
                    <w:rFonts w:ascii="Cambria Math" w:hAnsi="Cambria Math" w:cs="Times New Roman"/>
                    <w:lang w:val="ro-MD"/>
                  </w:rPr>
                  <m:t>w</m:t>
                </m:r>
                <m:r>
                  <m:rPr>
                    <m:sty m:val="p"/>
                  </m:rPr>
                  <w:rPr>
                    <w:rFonts w:ascii="Cambria Math" w:hAnsi="Times New Roman" w:cs="Times New Roman"/>
                    <w:lang w:val="ro-MD"/>
                  </w:rPr>
                  <m:t>R</m:t>
                </m:r>
              </m:e>
            </m:nary>
          </m:e>
        </m:d>
        <m:r>
          <w:rPr>
            <w:rFonts w:ascii="Cambria Math" w:hAnsi="Times New Roman" w:cs="Times New Roman"/>
            <w:lang w:val="ro-MD"/>
          </w:rPr>
          <m:t>×</m:t>
        </m:r>
        <m:r>
          <w:rPr>
            <w:rFonts w:ascii="Cambria Math" w:hAnsi="Times New Roman" w:cs="Times New Roman"/>
            <w:lang w:val="ro-MD"/>
          </w:rPr>
          <m:t>200</m:t>
        </m:r>
      </m:oMath>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где:</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Rg</w:t>
      </w:r>
      <w:r w:rsidRPr="0055411A">
        <w:rPr>
          <w:rFonts w:ascii="Times New Roman" w:hAnsi="Times New Roman" w:cs="Times New Roman"/>
          <w:sz w:val="28"/>
          <w:szCs w:val="28"/>
          <w:lang w:val="ru-RU"/>
        </w:rPr>
        <w:t xml:space="preserve"> – общая степень риска, связанного с потенциальным предметом контроля;</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1, 2, </w:t>
      </w:r>
      <w:r w:rsidRPr="0055411A">
        <w:rPr>
          <w:rFonts w:ascii="Times New Roman" w:hAnsi="Times New Roman" w:cs="Times New Roman"/>
          <w:i/>
          <w:sz w:val="28"/>
          <w:szCs w:val="28"/>
          <w:lang w:val="ru-RU"/>
        </w:rPr>
        <w:t>n</w:t>
      </w:r>
      <w:r w:rsidRPr="0055411A">
        <w:rPr>
          <w:rFonts w:ascii="Times New Roman" w:hAnsi="Times New Roman" w:cs="Times New Roman"/>
          <w:sz w:val="28"/>
          <w:szCs w:val="28"/>
          <w:lang w:val="ru-RU"/>
        </w:rPr>
        <w:t xml:space="preserve"> – критерии риска;</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w</w:t>
      </w:r>
      <w:r w:rsidRPr="0055411A">
        <w:rPr>
          <w:rFonts w:ascii="Times New Roman" w:hAnsi="Times New Roman" w:cs="Times New Roman"/>
          <w:sz w:val="28"/>
          <w:szCs w:val="28"/>
          <w:lang w:val="ru-RU"/>
        </w:rPr>
        <w:t xml:space="preserve"> – весомость каждого критерия риска, где сумма индивидуальных значений весомости равна единице;</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R</w:t>
      </w:r>
      <w:r w:rsidRPr="0055411A">
        <w:rPr>
          <w:rFonts w:ascii="Times New Roman" w:hAnsi="Times New Roman" w:cs="Times New Roman"/>
          <w:sz w:val="28"/>
          <w:szCs w:val="28"/>
          <w:lang w:val="ru-RU"/>
        </w:rPr>
        <w:t xml:space="preserve"> – уровень риска для каждого критерия.</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16. После применения формулы, изложенной в пункте 15, общий риск варьирует от 200 до 1000 единиц, где предприниматели, которым присуждаются 200 единиц, соотносятся с низким риском.</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17. В зависимости от полученного балла, в результате применения формулы субъекты контроля упорядочиваются, таким образом, в верхней части находятся предприниматели, которые добились максимального балла (1000 единиц) и подлежат проверке в приоритетном порядке.</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w w:val="105"/>
          <w:sz w:val="28"/>
          <w:szCs w:val="28"/>
          <w:lang w:val="ru-RU" w:bidi="he-IL"/>
        </w:rPr>
        <w:t xml:space="preserve">18. </w:t>
      </w:r>
      <w:r w:rsidRPr="0055411A">
        <w:rPr>
          <w:rFonts w:ascii="Times New Roman" w:hAnsi="Times New Roman" w:cs="Times New Roman"/>
          <w:sz w:val="28"/>
          <w:szCs w:val="28"/>
          <w:lang w:val="ru-RU"/>
        </w:rPr>
        <w:t>На основе классификации Инспекция составляет проект графика плановых квартальных проверок, которые отправляются для регистрации Государственной канцелярии в порядке и в сроки, установленные Правительством.</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19. Классификация используется Инспекцией для назначения рекомендуемой частоты проверок для каждого отдельного предпринимателя. Рекомендуемая частота может использоваться для установления приоритетов для внезапного контроля в случае, когда несколько предпринимателей одновременно подпадают под основания и условия, установленные статьей 19 Закона № 131 от 8 июня 2012 года о государственном контроле предпринимательской деятельности.</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20. В конце квартала, на который было осуществлено планирование, Инспекция разрабатывает отчет, в котором будет определена весомость предпринимателей, подлежащих проверке, от общего числа, и на основе информации, собранной в ходе проверки, по необходимости, будут изменены ранее присужденные баллы, вследствие изменения ситуации с момента последней проведенной проверки, для актуализации профиля каждого предпринимателя.</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VI. Создание и поддержка системы данных,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необходимой для использования критериев риска</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21. Система анализа проверок на основе критериев риска основана на релевантных статистических данных, достоверных, надежных и доступных, поставляемых Национальным бюро статистики, и другой достоверной информации.</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22. Для разработки и поддержания классификации предпринимателей на основе представленных рисков Инспекция поддерживает базу данных, которая включает:</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a) список всех предпринимателей, которые подлежат контролю, с личными идентификационными данными;</w:t>
      </w:r>
    </w:p>
    <w:p w:rsidR="0055411A" w:rsidRPr="0055411A" w:rsidRDefault="0055411A" w:rsidP="0055411A">
      <w:pPr>
        <w:tabs>
          <w:tab w:val="left" w:pos="709"/>
        </w:tabs>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b) историю деятельности по контролю;</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с) профиль каждого предпринимателя с информацией, соответствующей критериям риска, используемой для классификации данного предпринимателя, и т.д.</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bidi="he-IL"/>
        </w:rPr>
        <w:t>23. Инспекция ежегодно</w:t>
      </w:r>
      <w:r w:rsidRPr="0055411A">
        <w:rPr>
          <w:rFonts w:ascii="Times New Roman" w:hAnsi="Times New Roman" w:cs="Times New Roman"/>
          <w:sz w:val="28"/>
          <w:szCs w:val="28"/>
          <w:lang w:val="ru-RU"/>
        </w:rPr>
        <w:t xml:space="preserve"> пересматривает и обновляет информацию, необходимую для применения критериев риска.</w:t>
      </w:r>
    </w:p>
    <w:p w:rsidR="0009002D" w:rsidRPr="0055411A" w:rsidRDefault="0009002D" w:rsidP="0055411A">
      <w:pPr>
        <w:spacing w:after="0"/>
        <w:rPr>
          <w:rFonts w:ascii="Times New Roman" w:hAnsi="Times New Roman" w:cs="Times New Roman"/>
          <w:lang w:val="ru-RU"/>
        </w:rPr>
      </w:pPr>
    </w:p>
    <w:sectPr w:rsidR="0009002D" w:rsidRPr="0055411A" w:rsidSect="003735E9">
      <w:headerReference w:type="default" r:id="rId6"/>
      <w:footerReference w:type="default" r:id="rId7"/>
      <w:footerReference w:type="first" r:id="rId8"/>
      <w:pgSz w:w="11907" w:h="16840" w:code="9"/>
      <w:pgMar w:top="1418" w:right="964" w:bottom="1418" w:left="181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34" w:rsidRDefault="00347134">
      <w:pPr>
        <w:spacing w:after="0" w:line="240" w:lineRule="auto"/>
      </w:pPr>
      <w:r>
        <w:separator/>
      </w:r>
    </w:p>
  </w:endnote>
  <w:endnote w:type="continuationSeparator" w:id="0">
    <w:p w:rsidR="00347134" w:rsidRDefault="0034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BC Newton">
    <w:altName w:val="Times New Roman"/>
    <w:charset w:val="00"/>
    <w:family w:val="auto"/>
    <w:pitch w:val="variable"/>
    <w:sig w:usb0="00000003" w:usb1="00000000" w:usb2="00000000" w:usb3="00000000" w:csb0="00000001" w:csb1="00000000"/>
  </w:font>
  <w:font w:name="Tahoma">
    <w:altName w:val="Arial"/>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9A" w:rsidRPr="00A72131" w:rsidRDefault="00347134">
    <w:pPr>
      <w:pStyle w:val="a5"/>
      <w:rPr>
        <w:rFonts w:ascii="Times New Roman" w:hAnsi="Times New Roman"/>
        <w:sz w:val="16"/>
        <w:szCs w:val="16"/>
      </w:rPr>
    </w:pPr>
    <w:r>
      <w:fldChar w:fldCharType="begin"/>
    </w:r>
    <w:r>
      <w:instrText xml:space="preserve"> FILENAME  \p  \* MERGEFORMAT </w:instrText>
    </w:r>
    <w:r>
      <w:fldChar w:fldCharType="separate"/>
    </w:r>
    <w:r w:rsidR="0009002D">
      <w:rPr>
        <w:rFonts w:ascii="Times New Roman" w:hAnsi="Times New Roman"/>
        <w:noProof/>
        <w:sz w:val="16"/>
        <w:szCs w:val="16"/>
      </w:rPr>
      <w:t>X:\Valentina\DOC_2014\Regulamente\metodol_ispectia_truda.doc</w:t>
    </w:r>
    <w:r>
      <w:rPr>
        <w:rFonts w:ascii="Times New Roman" w:hAnsi="Times New Roman"/>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E9" w:rsidRDefault="00347134">
    <w:pPr>
      <w:pStyle w:val="a5"/>
    </w:pPr>
    <w:r>
      <w:fldChar w:fldCharType="begin"/>
    </w:r>
    <w:r>
      <w:instrText xml:space="preserve"> FILENAME  \p  \* MERGEFORMAT </w:instrText>
    </w:r>
    <w:r>
      <w:fldChar w:fldCharType="separate"/>
    </w:r>
    <w:r w:rsidR="0009002D">
      <w:rPr>
        <w:rFonts w:ascii="Times New Roman" w:hAnsi="Times New Roman"/>
        <w:noProof/>
        <w:sz w:val="16"/>
        <w:szCs w:val="16"/>
      </w:rPr>
      <w:t>X:\Valentina\DOC_2014\Regulamente\metodol_ispectia_truda.doc</w:t>
    </w:r>
    <w:r>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34" w:rsidRDefault="00347134">
      <w:pPr>
        <w:spacing w:after="0" w:line="240" w:lineRule="auto"/>
      </w:pPr>
      <w:r>
        <w:separator/>
      </w:r>
    </w:p>
  </w:footnote>
  <w:footnote w:type="continuationSeparator" w:id="0">
    <w:p w:rsidR="00347134" w:rsidRDefault="0034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9A" w:rsidRPr="00A72131" w:rsidRDefault="0009002D" w:rsidP="00A72131">
    <w:pPr>
      <w:pStyle w:val="a3"/>
      <w:jc w:val="center"/>
      <w:rPr>
        <w:rFonts w:ascii="Times New Roman" w:hAnsi="Times New Roman"/>
      </w:rPr>
    </w:pPr>
    <w:r w:rsidRPr="00A72131">
      <w:rPr>
        <w:rFonts w:ascii="Times New Roman" w:hAnsi="Times New Roman"/>
      </w:rPr>
      <w:fldChar w:fldCharType="begin"/>
    </w:r>
    <w:r w:rsidRPr="00A72131">
      <w:rPr>
        <w:rFonts w:ascii="Times New Roman" w:hAnsi="Times New Roman"/>
      </w:rPr>
      <w:instrText>PAGE   \* MERGEFORMAT</w:instrText>
    </w:r>
    <w:r w:rsidRPr="00A72131">
      <w:rPr>
        <w:rFonts w:ascii="Times New Roman" w:hAnsi="Times New Roman"/>
      </w:rPr>
      <w:fldChar w:fldCharType="separate"/>
    </w:r>
    <w:r w:rsidR="00EA0CDA" w:rsidRPr="00EA0CDA">
      <w:rPr>
        <w:rFonts w:ascii="Times New Roman" w:hAnsi="Times New Roman"/>
        <w:noProof/>
        <w:lang w:val="ru-RU"/>
      </w:rPr>
      <w:t>10</w:t>
    </w:r>
    <w:r w:rsidRPr="00A72131">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1A"/>
    <w:rsid w:val="0009002D"/>
    <w:rsid w:val="00347134"/>
    <w:rsid w:val="0055411A"/>
    <w:rsid w:val="00EA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9B0B9-172B-4B6C-A24F-EA86D4C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11A"/>
    <w:pPr>
      <w:tabs>
        <w:tab w:val="center" w:pos="4680"/>
        <w:tab w:val="right" w:pos="9360"/>
      </w:tabs>
      <w:spacing w:after="0" w:line="240" w:lineRule="auto"/>
    </w:pPr>
    <w:rPr>
      <w:rFonts w:ascii="ABC Newton" w:eastAsia="Times New Roman" w:hAnsi="ABC Newton" w:cs="Times New Roman"/>
      <w:sz w:val="24"/>
      <w:szCs w:val="20"/>
      <w:lang w:val="en-GB" w:eastAsia="ru-RU"/>
    </w:rPr>
  </w:style>
  <w:style w:type="character" w:customStyle="1" w:styleId="a4">
    <w:name w:val="Верхний колонтитул Знак"/>
    <w:basedOn w:val="a0"/>
    <w:link w:val="a3"/>
    <w:uiPriority w:val="99"/>
    <w:rsid w:val="0055411A"/>
    <w:rPr>
      <w:rFonts w:ascii="ABC Newton" w:eastAsia="Times New Roman" w:hAnsi="ABC Newton" w:cs="Times New Roman"/>
      <w:sz w:val="24"/>
      <w:szCs w:val="20"/>
      <w:lang w:val="en-GB" w:eastAsia="ru-RU"/>
    </w:rPr>
  </w:style>
  <w:style w:type="paragraph" w:styleId="a5">
    <w:name w:val="footer"/>
    <w:basedOn w:val="a"/>
    <w:link w:val="a6"/>
    <w:uiPriority w:val="99"/>
    <w:rsid w:val="0055411A"/>
    <w:pPr>
      <w:tabs>
        <w:tab w:val="center" w:pos="4680"/>
        <w:tab w:val="right" w:pos="9360"/>
      </w:tabs>
      <w:spacing w:after="0" w:line="240" w:lineRule="auto"/>
    </w:pPr>
    <w:rPr>
      <w:rFonts w:ascii="ABC Newton" w:eastAsia="Times New Roman" w:hAnsi="ABC Newton" w:cs="Times New Roman"/>
      <w:sz w:val="24"/>
      <w:szCs w:val="20"/>
      <w:lang w:val="en-GB" w:eastAsia="ru-RU"/>
    </w:rPr>
  </w:style>
  <w:style w:type="character" w:customStyle="1" w:styleId="a6">
    <w:name w:val="Нижний колонтитул Знак"/>
    <w:basedOn w:val="a0"/>
    <w:link w:val="a5"/>
    <w:uiPriority w:val="99"/>
    <w:rsid w:val="0055411A"/>
    <w:rPr>
      <w:rFonts w:ascii="ABC Newton" w:eastAsia="Times New Roman" w:hAnsi="ABC Newton" w:cs="Times New Roman"/>
      <w:sz w:val="24"/>
      <w:szCs w:val="20"/>
      <w:lang w:val="en-GB" w:eastAsia="ru-RU"/>
    </w:rPr>
  </w:style>
  <w:style w:type="paragraph" w:styleId="a7">
    <w:name w:val="Balloon Text"/>
    <w:basedOn w:val="a"/>
    <w:link w:val="a8"/>
    <w:uiPriority w:val="99"/>
    <w:semiHidden/>
    <w:unhideWhenUsed/>
    <w:rsid w:val="00554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Vladyslav Pinchuk</cp:lastModifiedBy>
  <cp:revision>2</cp:revision>
  <dcterms:created xsi:type="dcterms:W3CDTF">2017-01-29T11:10:00Z</dcterms:created>
  <dcterms:modified xsi:type="dcterms:W3CDTF">2017-01-29T11:10:00Z</dcterms:modified>
</cp:coreProperties>
</file>