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75" w:rsidRDefault="00103175" w:rsidP="00103175">
      <w:pPr>
        <w:spacing w:after="0"/>
        <w:ind w:left="354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103175" w:rsidRPr="00EF0161" w:rsidRDefault="00103175" w:rsidP="00103175">
      <w:pPr>
        <w:spacing w:after="0"/>
        <w:ind w:left="3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№</w:t>
      </w:r>
      <w:r w:rsidR="00F947FE" w:rsidRPr="00EF0161">
        <w:rPr>
          <w:rFonts w:ascii="Times New Roman" w:hAnsi="Times New Roman"/>
          <w:sz w:val="28"/>
          <w:szCs w:val="28"/>
          <w:lang w:val="ru-RU"/>
        </w:rPr>
        <w:t xml:space="preserve"> 363</w:t>
      </w:r>
    </w:p>
    <w:p w:rsidR="00103175" w:rsidRDefault="00103175" w:rsidP="00103175">
      <w:pPr>
        <w:spacing w:after="0"/>
        <w:ind w:left="3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</w:t>
      </w:r>
      <w:r w:rsidRPr="00103175">
        <w:rPr>
          <w:rFonts w:ascii="Times New Roman" w:hAnsi="Times New Roman"/>
          <w:sz w:val="28"/>
          <w:szCs w:val="28"/>
          <w:lang w:val="ru-RU"/>
        </w:rPr>
        <w:t xml:space="preserve">27 </w:t>
      </w:r>
      <w:r>
        <w:rPr>
          <w:rFonts w:ascii="Times New Roman" w:hAnsi="Times New Roman"/>
          <w:sz w:val="28"/>
          <w:szCs w:val="28"/>
          <w:lang w:val="ru-RU"/>
        </w:rPr>
        <w:t>мая  2014 г.</w:t>
      </w:r>
    </w:p>
    <w:p w:rsidR="00103175" w:rsidRDefault="00103175" w:rsidP="0010317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МЕТОДОЛОГИЯ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планирования </w:t>
      </w:r>
      <w:r w:rsidRPr="00B14A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деятельности по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государственному контролю </w:t>
      </w: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 области промышленной безопасности на основе анализа критериев риска </w:t>
      </w:r>
    </w:p>
    <w:p w:rsidR="00103175" w:rsidRPr="00B14A4C" w:rsidRDefault="00103175" w:rsidP="001031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10317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  <w:r w:rsidRPr="00B14A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Общие положения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Методология планирования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деятельности по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государственному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контролюв области промышленной безопасности на основе анализа критериев риска (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 дальнейшем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Методология) устанавливает организационн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о-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методологические рамки в части планирования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государственного контроля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деятельности и/или работ,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осуществляемых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области промышленной безопасности, в зависимости от риска, который они представляют для жизни и здоровья людей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а также воздействия на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окружающ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ую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сред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2.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Методологическая сущность анализа на основе критериев риска заключается в распределении по наиболее важным критериям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,отнесенным к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области контроля Главной государственной инспекции  технического надзора за опасными производственными объектами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(в дальнейшем </w:t>
      </w: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Инспекция)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присуждении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соответствующей оценки по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предустановленной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шкале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которая соотносится с весомостью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каждого критерия в зависимости от его влияния на общий уровень риска.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3.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Применение баллов, соответствующих каждому критерию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осуществляется для каждого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подлежащего контролю, и сопровождается последующей разработкой классификатора в зависимости от количества полученных баллов в соответствии с подсчитанным уровнем индивидуального риска.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03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Оценка уровня прогнозируемого риска для каждого лица определяет частоту и интенсивность необходимых мер контроля в отношении данного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II. Установление критериев риска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5.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Инспекции, существование и интенсивность которых могут указывать на вероятность причинения вреда жизни и здоровью людей,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нанесения ущерба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окружающей среде вследствие деятельности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экономического агента, а также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такого вреда. 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Критерии риска выбраны в зависимости от субъекта контроля, объекта контроля и предыдущих взаимоотношений с Инспекцией.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о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бласти промышленной безопасност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икритерии риска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определяются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 полномочиями Инспекции, тип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взаимоотношений и социальны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ценност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которые отстаивает данный орган,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также видом ущерба, которого следует избегать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Выбранные критерии риска  должны соответствовать следующим принципам: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соответств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овать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цели деятельности Инспекции;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охватывать все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предприятия,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подлежащи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контролю,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осуществляемому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Инспекцией,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в частности соответствовать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экономических агентов и/или используемым/производимым ими товарам;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основыват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ся на достоверной, точной и доступной информации;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соотноситься с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много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сторонним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характер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источников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ритери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ями риска, используемыми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 обязательном порядке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являются: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период осуществления проверяемым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экономическим агентом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подлежащей контролю;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дата осуществления последней проверки;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предыдущие нарушения.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10.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Специфически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критери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и риска для планирования контрол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 за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ью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и/или осуществл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яемыми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области промышленной безопасности являются: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степень износа оборудования;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категория опасности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опасн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ого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производственн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ого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количество опасных производственных объектов, принадлежащих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экономическому агенту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III. Распределение интенсивности риска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11.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означает минимальную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-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максимальную степень риска.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12.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присуждении цифровых значений учитыва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тся весомость каждого уровня в рамках критерия риска и равномерность перемещения с одного уровня на другой, таким образом, чтобы в одном всеобъемлющем реестре были отражены соответствующие уровни возможных рисков от минимального до максимального.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13.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обязательных критериев риска оценки присужд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аются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следующим образом:</w:t>
      </w:r>
    </w:p>
    <w:p w:rsidR="00103175" w:rsidRPr="00A514C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514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1)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r w:rsidRPr="00A514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ериодосуществл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ения </w:t>
      </w:r>
      <w:r w:rsidRPr="00A514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деятельност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 проверяемым экономическим агентом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4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бщее основание</w:t>
      </w:r>
      <w:r w:rsidRPr="00A514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ч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ем больше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период д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еятельности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экономического агента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на рынке, тем лучше он знает правила, тем более внимательно относится к своей репутации и чаще внедряет внутренние системы контроля качества через постоянное обеспечение квалифицированного персонала при выполнении работ на опасном производственном объекте и соблюдение норм безопасности.</w:t>
      </w: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3282"/>
      </w:tblGrid>
      <w:tr w:rsidR="00103175" w:rsidRPr="00FC7361" w:rsidTr="00021CAD">
        <w:trPr>
          <w:trHeight w:val="438"/>
        </w:trPr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Период деятельности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экономического агента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 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Более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pt-PT" w:eastAsia="ru-RU"/>
              </w:rPr>
              <w:t xml:space="preserve"> 20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15-20 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10-15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5-10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03175" w:rsidRPr="009234CF" w:rsidRDefault="00103175" w:rsidP="001031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 Дата осуществления последнего контроля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 чем бол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ьше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период, в который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экономический агент,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подлежащий контролю, не проверялся, тем выше неопределённость относительно его соответствия нормативным требованиям, при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минимальный риск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присуждается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субъектам, которые были проверены  недавно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максимальный риск субъектам, в отношении которых в ближайшее время государственный контрольне проводился. </w:t>
      </w:r>
    </w:p>
    <w:p w:rsidR="00103175" w:rsidRPr="00B14A4C" w:rsidRDefault="00103175" w:rsidP="00103175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196"/>
      </w:tblGrid>
      <w:tr w:rsidR="00103175" w:rsidRPr="00FC7361" w:rsidTr="00021CAD">
        <w:trPr>
          <w:trHeight w:val="438"/>
        </w:trPr>
        <w:tc>
          <w:tcPr>
            <w:tcW w:w="4860" w:type="dxa"/>
            <w:shd w:val="clear" w:color="auto" w:fill="auto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103175" w:rsidRPr="009234CF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Степень риска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R</w:t>
            </w:r>
            <w:r w:rsidRPr="009234CF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234C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) 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Один год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 года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2-3 года 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3-5 года 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 проводился контроль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03175" w:rsidRPr="009234CF" w:rsidRDefault="00103175" w:rsidP="00103175">
      <w:pPr>
        <w:spacing w:after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редыдущие нарушения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отсутствие нарушений на дату последней проверки указывает на готовность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соблюдать закон и, следовательно, более низкий риск нарушения закона. Таким образом, этот факт может освободить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последующей проверки. В то же время наличие нарушений на последнюю дату осуществления проверки присуждает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экономическому агенту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более высокую степень риска.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170"/>
        <w:gridCol w:w="2174"/>
      </w:tblGrid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175" w:rsidRPr="00103175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Нарушения, выявленные при  последней проверке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незначительные нарушения,  которые не входят в состав правонарушений (не было представлено предписание)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Были обнаружены незначительные нарушения, которые являются правонарушениями, (было представлено предписание)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незаконные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нарушения, которые входят в состав правонарушений,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без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причинен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ия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ущерб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третьим лицам (применены санкции)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незначительные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нарушения, которые являются составом преступления и причинили незначительный ущерб третьим лицам (применены санкции, возмещен ущерб)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нарушения, которые являются составом преступления и причинили значительный ущерб третьим лицам (применены санкции, возмещен ущерб)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175" w:rsidRPr="00B14A4C" w:rsidRDefault="00103175" w:rsidP="00103175">
      <w:pPr>
        <w:tabs>
          <w:tab w:val="left" w:pos="1120"/>
        </w:tabs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14</w:t>
      </w:r>
      <w:r w:rsidRPr="00103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Специфически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критери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ям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и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Инспекции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являются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следующи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03175" w:rsidRPr="009234CF" w:rsidRDefault="00103175" w:rsidP="00103175">
      <w:pPr>
        <w:spacing w:after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03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тепень износа оборудования: технические установки и технологические системы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6E8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 опасные производственные объекты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имеющие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технического оборудования, или на которых технические установки и технологические системы эксплуатируются в пределах срока эксплуатации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установленного согласно их документации,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представляют минимальный риск по сравнению с теми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которых нормативный срок эксплуатации превышен.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Чем чаще осуществляется продление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нормативных сроков эксплуатации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тем выше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вероятность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возникновения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аварии или техногенной катастрофы.</w:t>
      </w: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170"/>
        <w:gridCol w:w="2174"/>
      </w:tblGrid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тепень износа оборудования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4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системы, эксплуатируемые в пределах срока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установленного технической документацией; или опасный производственный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располагающий техническим оборудованием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 с единожды продл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нным сроком эксплуатации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 с дважды продл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нным сроком эксплуатации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3175" w:rsidRDefault="00103175" w:rsidP="00103175">
      <w:pPr>
        <w:spacing w:after="0"/>
      </w:pPr>
    </w:p>
    <w:p w:rsidR="00103175" w:rsidRPr="00103175" w:rsidRDefault="00103175" w:rsidP="00103175">
      <w:pPr>
        <w:spacing w:after="0"/>
        <w:rPr>
          <w:lang w:val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612"/>
        <w:gridCol w:w="1732"/>
      </w:tblGrid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Технические установки и технологические системы с трижды продлённым сроком эксплуатации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 со сроком эксплуатации, продл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нным более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 раз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7837A1" w:rsidRDefault="00103175" w:rsidP="00103175">
      <w:pPr>
        <w:spacing w:after="0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83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2) Категория опасности для опасного  производственного объекта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 производственны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относящи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ся 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первой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категории опасности, име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 более высокий риск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жизни и здоровья людей и окружающей среды, по сравнению с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производственны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есенными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четвертой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категории опасности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в то же время,  экономический агент,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не владеющ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опасным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производственным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осуществляющ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деятельность в области промышленной безопасности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представля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ет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меньший риск опасности.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170"/>
        <w:gridCol w:w="2174"/>
      </w:tblGrid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Категория опасности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для 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опасн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ого</w:t>
            </w:r>
          </w:p>
          <w:p w:rsidR="00103175" w:rsidRPr="00103175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производственн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ого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объект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5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Деятельность и/или работы в области промышленной безопасности, 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предполагающие участия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опасны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Опасные производственные объекты и продукция, установки, оборудование и технологии, используемые на опасном производственном объекте, вклю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ченные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четвертую к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атегорию опасности 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rPr>
          <w:trHeight w:val="555"/>
        </w:trPr>
        <w:tc>
          <w:tcPr>
            <w:tcW w:w="4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Опасные производственные объекты и продукция, установки, оборудование и технологии, используемые на опасном производственном объекте, включ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третью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категорию опасности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75" w:rsidRPr="00FC7361" w:rsidTr="00021CAD">
        <w:tc>
          <w:tcPr>
            <w:tcW w:w="4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Опасные производственные объекты и продукция, установки, оборудование и технологии, используемые на опасном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производственном объекте, включе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овторую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категорию опасности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Опасные производственные объекты и продукция, установки, оборудование и технологии, используемые на опасном производственном объекте, включ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первую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категорию опасности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175" w:rsidRPr="0095003F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5003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3) Количество опасных производственных объектов, принадлежащих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экономическому агенту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03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количество опасных производственных объектов, принадлежащих одному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экономическому агенту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обусловливает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множество возможных  несоответствий, допускаемых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экономическим агентом при осуществлении им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деятельности и/или работ в области промышленной безопасности.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то же время, д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анный критерий риска будет содействовать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обоснованию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частоты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 и того же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экономического агента,  исходя из факта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владе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ния несколькими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опасны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производственны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 Таким образом, чем больш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им количеством опасных  п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роизводственных объектов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владеет экономический агент,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тем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вышеприсваиваемая ему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4850" w:type="pct"/>
        <w:tblInd w:w="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890"/>
        <w:gridCol w:w="2174"/>
      </w:tblGrid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103175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Количество опасных производственных объектов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 которыми владеет экономический агент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6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3-5 объектов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5-10 объектов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10-20 объектов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олее 20 объектов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IV.Измерение (оценка) критериев</w:t>
      </w:r>
    </w:p>
    <w:p w:rsidR="00103175" w:rsidRPr="00B14A4C" w:rsidRDefault="00103175" w:rsidP="0010317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15.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каждого критерия устан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авливается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весомость по отношению ко всем отобранным критериям,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учетом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важност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конкретного критерия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специфической области контроля. 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16.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Весомость риска определяется по каждому отдельному критерию риска в долях, так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 образом, чтобы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суммарная величина всех критериев состав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ляла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одну единицу.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2000"/>
      </w:tblGrid>
      <w:tr w:rsidR="00103175" w:rsidRPr="00FC7361" w:rsidTr="00021CAD">
        <w:tc>
          <w:tcPr>
            <w:tcW w:w="6685" w:type="dxa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2000" w:type="dxa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Весомость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(W)</w:t>
            </w:r>
          </w:p>
        </w:tc>
      </w:tr>
      <w:tr w:rsidR="00103175" w:rsidRPr="00FC7361" w:rsidTr="00021CAD">
        <w:trPr>
          <w:trHeight w:val="495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Период, в течение которого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экономический агент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осуществляет деятельность, подлежащую контролю 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rPr>
          <w:trHeight w:val="415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Дата осуществления последнего контроля   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rPr>
          <w:trHeight w:val="355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Нарушения, выявленные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ходе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последнего контроля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0,3</w:t>
            </w:r>
          </w:p>
        </w:tc>
      </w:tr>
      <w:tr w:rsidR="00103175" w:rsidRPr="00FC7361" w:rsidTr="00021CAD">
        <w:trPr>
          <w:trHeight w:val="352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Степень износа оборудования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0,2</w:t>
            </w:r>
          </w:p>
        </w:tc>
      </w:tr>
      <w:tr w:rsidR="00103175" w:rsidRPr="00FC7361" w:rsidTr="00021CAD">
        <w:trPr>
          <w:trHeight w:val="344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Категория опасности опасного производственного объекта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0,2</w:t>
            </w:r>
          </w:p>
        </w:tc>
      </w:tr>
      <w:tr w:rsidR="00103175" w:rsidRPr="00FC7361" w:rsidTr="00021CAD"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опасных производственных объектов, принадлежащих экономическому агенту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есомост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присваиваем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ая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каждому критерию риска,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ериодически пересматривается в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зависимости от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ов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предыдущих проверок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обновления сведений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 В случае, если со временем критерий теряет свою актуальность, рекомендуется последующее снижение его доли по отношению к остальными  применяемым критериями.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V. Применение критериев по отношению 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экономическим агентам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F947FE" w:rsidRDefault="00103175" w:rsidP="00F947FE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18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редневзвешенная специфическая степень риска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станавливается на основе следующей формулы:</w:t>
      </w:r>
    </w:p>
    <w:p w:rsidR="00103175" w:rsidRDefault="00103175" w:rsidP="0010317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103175" w:rsidRPr="00944385" w:rsidRDefault="00103175" w:rsidP="0010317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Rg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=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1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 xml:space="preserve">1 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2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 xml:space="preserve">2 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3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3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5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5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6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6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)*200</w:t>
      </w:r>
      <w:r w:rsidRPr="00944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</w:p>
    <w:p w:rsidR="00103175" w:rsidRPr="00944385" w:rsidRDefault="00103175" w:rsidP="00103175">
      <w:pPr>
        <w:spacing w:after="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где:</w:t>
      </w: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Rg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общая степень риска, связанного с потенциальным предметом контроля;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1, 2, 3, 4, 5, 6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- критерии риска;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весомость каждого критерия риска, где сумма индивидуальных значений весомости будет равна единице;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R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уровень риска для каждого критерия.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19.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После применения формулы общий риск будет варьироваться от 200 до 1000 единиц,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этом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лица, которым присуждаются 200 единиц, соотносятся с низким риском.</w:t>
      </w:r>
    </w:p>
    <w:p w:rsidR="00103175" w:rsidRPr="00103175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зависимости от полученного балла в результате применения формулы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экономические агенты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упорядочиваются таким образом,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чтобы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 верхней части наход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ились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лица, которы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 присужден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максимальн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балл (1000 единиц).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Экономические агенты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верхней части списка ассоциируются с более высоким риском и подлежат проверке в приоритетном порядке.</w:t>
      </w:r>
    </w:p>
    <w:p w:rsidR="00103175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 основе классификации Инспекция составляет проект графика плановых квартальных проверок, которые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правляются для регистрации Государственной канцелярии в порядке и сроки, установленные Правительством.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22.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Классификация использ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уется Инспекцией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установления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рекомендуемой частоты проверок для каждого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Рекомендуемая частота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применяется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для установления приоритет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ности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внезапного контроля в случае, когда одновременно несколько предприятий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соответствуют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условия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установленны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статьей 19 Закона о государственном контроле предпринимательской деятельности    № 131 от 8 июня 2012 года.</w:t>
      </w:r>
    </w:p>
    <w:p w:rsidR="00103175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23.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конце периода, на который было осуществлено планирование, Инспекция разрабатывает отчет, в котором определена весомость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экономических агентов,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подлежащих проверке от общего числа, и на основе информации, собранной в ходе проверки, при необходимости, будут изменены ранее присужденные баллы вследствие изменения ситуации с момента последней проведенной проверки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обнов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ления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VI.Создание и поддержка информационных систем,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необходимых для использования критериев риска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24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Для разработки и поддержания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классификации экономических агентов на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основе представленных рисков Инспекция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ведет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базу данных, которая  отража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т как минимум:</w:t>
      </w:r>
    </w:p>
    <w:p w:rsidR="00103175" w:rsidRPr="00B14A4C" w:rsidRDefault="00103175" w:rsidP="00103175">
      <w:pPr>
        <w:tabs>
          <w:tab w:val="left" w:pos="1134"/>
        </w:tabs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список всех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экономических агентов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подлежащих контролю, с личными идентификационными данными;</w:t>
      </w:r>
    </w:p>
    <w:p w:rsidR="00103175" w:rsidRPr="00B14A4C" w:rsidRDefault="00103175" w:rsidP="00103175">
      <w:pPr>
        <w:tabs>
          <w:tab w:val="left" w:pos="1134"/>
        </w:tabs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2)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историю деятельности по  контролю;</w:t>
      </w:r>
    </w:p>
    <w:p w:rsidR="00103175" w:rsidRPr="00B14A4C" w:rsidRDefault="00103175" w:rsidP="00103175">
      <w:pPr>
        <w:tabs>
          <w:tab w:val="left" w:pos="1134"/>
        </w:tabs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3)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профиль каждого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информацией, соответствующей критериям риска, используемой для классификации данного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т.д.</w:t>
      </w:r>
    </w:p>
    <w:p w:rsidR="00103175" w:rsidRDefault="00103175" w:rsidP="00103175">
      <w:pPr>
        <w:spacing w:after="0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E800F8" w:rsidRDefault="00103175" w:rsidP="00103175">
      <w:pPr>
        <w:spacing w:after="0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25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 Инспекция пересматривает и обновляет информацию, необходимую для применения критериев риска, не реже одного раза в год.</w:t>
      </w:r>
    </w:p>
    <w:p w:rsidR="00685E78" w:rsidRPr="00103175" w:rsidRDefault="00685E78" w:rsidP="00103175">
      <w:pPr>
        <w:spacing w:after="0"/>
        <w:rPr>
          <w:lang w:val="ru-RU"/>
        </w:rPr>
      </w:pPr>
    </w:p>
    <w:sectPr w:rsidR="00685E78" w:rsidRPr="00103175" w:rsidSect="00E800F8">
      <w:headerReference w:type="default" r:id="rId6"/>
      <w:footerReference w:type="default" r:id="rId7"/>
      <w:footerReference w:type="first" r:id="rId8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F" w:rsidRDefault="001C236F" w:rsidP="00103175">
      <w:pPr>
        <w:spacing w:after="0" w:line="240" w:lineRule="auto"/>
      </w:pPr>
      <w:r>
        <w:separator/>
      </w:r>
    </w:p>
  </w:endnote>
  <w:endnote w:type="continuationSeparator" w:id="0">
    <w:p w:rsidR="001C236F" w:rsidRDefault="001C236F" w:rsidP="0010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D" w:rsidRPr="00E800F8" w:rsidRDefault="001C236F" w:rsidP="00E800F8">
    <w:pPr>
      <w:pStyle w:val="a5"/>
      <w:ind w:firstLine="0"/>
      <w:rPr>
        <w:rFonts w:ascii="Times New Roman" w:hAnsi="Times New Roman"/>
        <w:sz w:val="16"/>
        <w:szCs w:val="16"/>
      </w:rPr>
    </w:pPr>
  </w:p>
  <w:p w:rsidR="00746E8D" w:rsidRDefault="001C2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D" w:rsidRPr="00E800F8" w:rsidRDefault="001C236F" w:rsidP="00E800F8">
    <w:pPr>
      <w:pStyle w:val="a5"/>
      <w:ind w:firstLine="0"/>
      <w:rPr>
        <w:rFonts w:ascii="Times New Roman" w:hAnsi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85E78">
      <w:rPr>
        <w:rFonts w:ascii="Times New Roman" w:hAnsi="Times New Roman"/>
        <w:noProof/>
        <w:sz w:val="16"/>
        <w:szCs w:val="16"/>
      </w:rPr>
      <w:t>Z:\Vera\DOC_2014\Hotariri\Metodolog_prom_bezop.docx</w:t>
    </w:r>
    <w:r>
      <w:rPr>
        <w:rFonts w:ascii="Times New Roman" w:hAnsi="Times New Roman"/>
        <w:noProof/>
        <w:sz w:val="16"/>
        <w:szCs w:val="16"/>
      </w:rPr>
      <w:fldChar w:fldCharType="end"/>
    </w:r>
  </w:p>
  <w:p w:rsidR="00746E8D" w:rsidRDefault="001C2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F" w:rsidRDefault="001C236F" w:rsidP="00103175">
      <w:pPr>
        <w:spacing w:after="0" w:line="240" w:lineRule="auto"/>
      </w:pPr>
      <w:r>
        <w:separator/>
      </w:r>
    </w:p>
  </w:footnote>
  <w:footnote w:type="continuationSeparator" w:id="0">
    <w:p w:rsidR="001C236F" w:rsidRDefault="001C236F" w:rsidP="0010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D" w:rsidRDefault="00550F9D">
    <w:pPr>
      <w:pStyle w:val="a3"/>
      <w:jc w:val="center"/>
    </w:pPr>
    <w:r>
      <w:fldChar w:fldCharType="begin"/>
    </w:r>
    <w:r w:rsidR="00685E78">
      <w:instrText>PAGE   \* MERGEFORMAT</w:instrText>
    </w:r>
    <w:r>
      <w:fldChar w:fldCharType="separate"/>
    </w:r>
    <w:r w:rsidR="00EF0161">
      <w:rPr>
        <w:noProof/>
      </w:rPr>
      <w:t>8</w:t>
    </w:r>
    <w:r>
      <w:fldChar w:fldCharType="end"/>
    </w:r>
  </w:p>
  <w:p w:rsidR="00746E8D" w:rsidRDefault="001C2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5"/>
    <w:rsid w:val="00103175"/>
    <w:rsid w:val="001C236F"/>
    <w:rsid w:val="00550F9D"/>
    <w:rsid w:val="00685E78"/>
    <w:rsid w:val="009907FB"/>
    <w:rsid w:val="00EF0161"/>
    <w:rsid w:val="00F8560F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B461-64A5-4E80-9E18-A5E3AABF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o-RO"/>
    </w:rPr>
  </w:style>
  <w:style w:type="character" w:customStyle="1" w:styleId="a4">
    <w:name w:val="Верхний колонтитул Знак"/>
    <w:basedOn w:val="a0"/>
    <w:link w:val="a3"/>
    <w:uiPriority w:val="99"/>
    <w:rsid w:val="00103175"/>
    <w:rPr>
      <w:rFonts w:ascii="Calibri" w:eastAsia="Calibri" w:hAnsi="Calibri" w:cs="Times New Roman"/>
      <w:lang w:val="ro-RO"/>
    </w:rPr>
  </w:style>
  <w:style w:type="paragraph" w:styleId="a5">
    <w:name w:val="footer"/>
    <w:basedOn w:val="a"/>
    <w:link w:val="a6"/>
    <w:uiPriority w:val="99"/>
    <w:unhideWhenUsed/>
    <w:rsid w:val="001031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o-RO"/>
    </w:rPr>
  </w:style>
  <w:style w:type="character" w:customStyle="1" w:styleId="a6">
    <w:name w:val="Нижний колонтитул Знак"/>
    <w:basedOn w:val="a0"/>
    <w:link w:val="a5"/>
    <w:uiPriority w:val="99"/>
    <w:rsid w:val="00103175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2017-01-29T09:31:00Z</dcterms:created>
  <dcterms:modified xsi:type="dcterms:W3CDTF">2017-01-29T09:31:00Z</dcterms:modified>
</cp:coreProperties>
</file>