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67"/>
      </w:tblGrid>
      <w:tr w:rsidR="00945420" w:rsidRPr="00945420" w:rsidTr="00021CAD">
        <w:tc>
          <w:tcPr>
            <w:tcW w:w="4077" w:type="dxa"/>
            <w:shd w:val="clear" w:color="auto" w:fill="auto"/>
          </w:tcPr>
          <w:p w:rsidR="00945420" w:rsidRPr="00945420" w:rsidRDefault="00945420" w:rsidP="009454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spellEnd"/>
          </w:p>
        </w:tc>
      </w:tr>
      <w:tr w:rsidR="00945420" w:rsidRPr="00945420" w:rsidTr="00021CAD">
        <w:tc>
          <w:tcPr>
            <w:tcW w:w="4077" w:type="dxa"/>
            <w:shd w:val="clear" w:color="auto" w:fill="auto"/>
          </w:tcPr>
          <w:p w:rsidR="00945420" w:rsidRPr="00945420" w:rsidRDefault="00945420" w:rsidP="009454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proofErr w:type="spellEnd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proofErr w:type="spellEnd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 № 372</w:t>
            </w:r>
          </w:p>
        </w:tc>
      </w:tr>
      <w:tr w:rsidR="00945420" w:rsidRPr="00945420" w:rsidTr="00021CAD">
        <w:tc>
          <w:tcPr>
            <w:tcW w:w="4077" w:type="dxa"/>
            <w:shd w:val="clear" w:color="auto" w:fill="auto"/>
          </w:tcPr>
          <w:p w:rsidR="00945420" w:rsidRPr="00945420" w:rsidRDefault="00945420" w:rsidP="009454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  27 </w:t>
            </w: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  2014 г.</w:t>
            </w:r>
          </w:p>
        </w:tc>
      </w:tr>
    </w:tbl>
    <w:p w:rsidR="00945420" w:rsidRPr="00945420" w:rsidRDefault="00945420" w:rsidP="00945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5420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b/>
          <w:sz w:val="28"/>
          <w:szCs w:val="28"/>
          <w:lang w:val="ru-RU"/>
        </w:rPr>
        <w:t>планирования государственного контроля предпринимательской деятельности на основе анализа критериев риска, осуществляемого Государственной инспекцией по надзору за алкогольной продукцией</w:t>
      </w:r>
    </w:p>
    <w:bookmarkEnd w:id="0"/>
    <w:p w:rsidR="00945420" w:rsidRPr="00945420" w:rsidRDefault="00945420" w:rsidP="0094542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>I</w:t>
      </w:r>
      <w:r w:rsidRPr="00945420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1. Методология планирования государственного контроля предпринимательской деятельности на основе анализа критериев риска, осуществляемого Государственной инспекцией по надзору за алкогольной продукцией (в дальнейшем – Методология) разработана в целях повышения эффективности государственного контроля и надзора за предпринимательской деятельностью в области производства, хранения и оптовой реализации этилового спирта, алкогольной продукции, согласно Закону № 131 от 8 июня 2012 года о государственном контроле предпринимательской деятельности и Постановлению Правительства        № 694 от 5 сентября 2013 г. «Об утверждении Общей методологии планирования государственного контроля предпринимательской деятельности на основе анализа критериев риска».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2. Методологическая сущность анализа на основе критериев риска состоит в распределении по наиболее важным критериям риска, релевантным для области контроля Государственной инспекцией по надзору за алкогольной продукцией (в дальнейшем – Инспекция), и присуждении соответствующей оценки по предустановленному масштабу, которая соотносится с весомостью каждого критерия в зависимости от релевантности его для общего уровня риска. Применение баллов по каждому критерию осуществляется для каждого проверяемого экономического агента и завершается разработкой их классификации в зависимости от полученных баллов, в соответствии с индивидуальным уровнем прогнозируемого риска.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lastRenderedPageBreak/>
        <w:t>3. Уровень риска, установленный для каждого экономического агента, определяет частоту и интенсивность необходимых мер контроля в отношении данного субъекта.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>II</w:t>
      </w:r>
      <w:r w:rsidRPr="00945420">
        <w:rPr>
          <w:rFonts w:ascii="Times New Roman" w:hAnsi="Times New Roman" w:cs="Times New Roman"/>
          <w:b/>
          <w:sz w:val="28"/>
          <w:szCs w:val="28"/>
          <w:lang w:val="ru-RU"/>
        </w:rPr>
        <w:t>. Установление критериев риска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4. Критерии риска суммируют набор обстоятельств или характеристик субъекта и/или объекта, подлежащего контролю, и/или предыдущих взаимоотношений контролируемого экономического агента с Инспекцией, в качестве органа контроля, существование и интенсивность которых могут указывать на вероятность причинения вреда жизни и здоровью людей, окружающей среде вследствие деятельности экономического агента и степень такого вреда, продвижения нелояльной конкуренции, несоблюдения прослеживаемости при производстве и оптовой реализации этилового спирта и алкогольной продукции, в том числе продуктов с географическим указанием и наименованием места происхождения. 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5. Критерии риска группируются в зависимости от субъекта контроля, объекта контроля и предыдущих взаимоотношений с органом контроля: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1) в зависимости от субъекта: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- объем продукции в зависимости от вида деятельности;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- период осуществления проверяемым лицом деятельности, подлежащей контролю;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2) в зависимости от объекта: 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- технико-технологическое оснащение предприятия;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3) в зависимости от предыдущих взаимоотношений: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- дата осуществления последнего контроля;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- предыдущие нарушения. 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>III</w:t>
      </w:r>
      <w:r w:rsidRPr="00945420">
        <w:rPr>
          <w:rFonts w:ascii="Times New Roman" w:hAnsi="Times New Roman" w:cs="Times New Roman"/>
          <w:b/>
          <w:sz w:val="28"/>
          <w:szCs w:val="28"/>
          <w:lang w:val="ru-RU"/>
        </w:rPr>
        <w:t>. Распределение интенсивности риска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6. 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означает минимальную степень и «5» максимальную степень риска.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7. Для критериев риска оценки присуждаются следующим образом: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1) период осуществления проверяемым лицом деятельности, подлежащей контролю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Общее основание: чем больше стаж деятельности предприятия на рынке, тем лучше она знакома с законодательством, тем более внимательно относится к своей репутации и чаще внедряет внутренние системы контроля качества.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196"/>
      </w:tblGrid>
      <w:tr w:rsidR="00945420" w:rsidRPr="00945420" w:rsidTr="00021CAD">
        <w:tc>
          <w:tcPr>
            <w:tcW w:w="5148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  <w:proofErr w:type="spellEnd"/>
            <w:r w:rsidRPr="00945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  <w:r w:rsidRPr="00945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4196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  <w:proofErr w:type="spellEnd"/>
            <w:r w:rsidRPr="00945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  <w:sz w:val="28"/>
                <w:szCs w:val="28"/>
              </w:rPr>
              <w:t>риска</w:t>
            </w:r>
            <w:proofErr w:type="spellEnd"/>
          </w:p>
        </w:tc>
      </w:tr>
      <w:tr w:rsidR="00945420" w:rsidRPr="00945420" w:rsidTr="00021CAD">
        <w:tc>
          <w:tcPr>
            <w:tcW w:w="514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419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420" w:rsidRPr="00945420" w:rsidTr="00021CAD">
        <w:tc>
          <w:tcPr>
            <w:tcW w:w="514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15-20 </w:t>
            </w: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419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420" w:rsidRPr="00945420" w:rsidTr="00021CAD">
        <w:tc>
          <w:tcPr>
            <w:tcW w:w="514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10-15 </w:t>
            </w: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419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5420" w:rsidRPr="00945420" w:rsidTr="00021CAD">
        <w:tc>
          <w:tcPr>
            <w:tcW w:w="514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419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5420" w:rsidRPr="00945420" w:rsidTr="00021CAD">
        <w:tc>
          <w:tcPr>
            <w:tcW w:w="514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419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последней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проверки</w:t>
      </w:r>
      <w:proofErr w:type="spellEnd"/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Общее основание: чем продолжительнее период, в течение которого экономический агент, подлежащий контролю, не проверялся, тем выше неопределенность относительно его соответствия нормативным требованиям, при этом присуждается минимальный риск субъектам, проверенным недавно, и максимальный риск субъектам, которые давно не подвергались государственному контролю. 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5420" w:rsidRPr="00945420" w:rsidTr="00021CAD">
        <w:tc>
          <w:tcPr>
            <w:tcW w:w="4672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>Промежуток времени от даты осуществления последней проверки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945420" w:rsidRPr="00945420" w:rsidTr="00021CAD"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</w:tr>
      <w:tr w:rsidR="00945420" w:rsidRPr="00945420" w:rsidTr="00021CAD"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</w:tr>
      <w:tr w:rsidR="00945420" w:rsidRPr="00945420" w:rsidTr="00021CAD"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5420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предыдущие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Общее основание: отсутствие нарушений на дату последней проверки указывает на готовность предпринимателя соблюдать закон и, следовательно, более низкий риск нарушения закона. Таким образом, данный факт может освободить экономического агента от последующей проверки. В то же время наличие нарушений на последнюю дату осуществления проверки присваивает экономическому агенту высокую степень риска.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775"/>
      </w:tblGrid>
      <w:tr w:rsidR="00945420" w:rsidRPr="00945420" w:rsidTr="00021CAD">
        <w:trPr>
          <w:trHeight w:val="20"/>
        </w:trPr>
        <w:tc>
          <w:tcPr>
            <w:tcW w:w="4073" w:type="pct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>Нарушения, выявленные при  последней проверке</w:t>
            </w:r>
          </w:p>
        </w:tc>
        <w:tc>
          <w:tcPr>
            <w:tcW w:w="927" w:type="pct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945420" w:rsidRPr="00945420" w:rsidTr="00021CAD">
        <w:trPr>
          <w:trHeight w:val="20"/>
        </w:trPr>
        <w:tc>
          <w:tcPr>
            <w:tcW w:w="4073" w:type="pct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Выявлены незначительные нарушения, которые не представляют состав правонарушения или преступления (представлено предписание)</w:t>
            </w:r>
          </w:p>
        </w:tc>
        <w:tc>
          <w:tcPr>
            <w:tcW w:w="927" w:type="pct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</w:tr>
      <w:tr w:rsidR="00945420" w:rsidRPr="00945420" w:rsidTr="00021CAD">
        <w:trPr>
          <w:trHeight w:val="20"/>
        </w:trPr>
        <w:tc>
          <w:tcPr>
            <w:tcW w:w="4073" w:type="pct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Выявлены незначительные нарушения, представляющие состав правонарушения, без причинения ущерба третьим лицам (применены санкции)</w:t>
            </w:r>
          </w:p>
        </w:tc>
        <w:tc>
          <w:tcPr>
            <w:tcW w:w="927" w:type="pct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</w:tr>
      <w:tr w:rsidR="00945420" w:rsidRPr="00945420" w:rsidTr="00021CAD">
        <w:trPr>
          <w:trHeight w:val="20"/>
        </w:trPr>
        <w:tc>
          <w:tcPr>
            <w:tcW w:w="4073" w:type="pct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Выявлены нарушения, которые представляют состав правонарушения, с причинением ущерба третьим лицам (применены санкции, возмещен ущерб)</w:t>
            </w:r>
          </w:p>
        </w:tc>
        <w:tc>
          <w:tcPr>
            <w:tcW w:w="927" w:type="pct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4073" w:type="pct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Выявлены нарушения, которые представляют состав преступления, с причинением незначительного ущерба третьим лицам (применены санкции, возмещен ущерб)</w:t>
            </w:r>
          </w:p>
        </w:tc>
        <w:tc>
          <w:tcPr>
            <w:tcW w:w="927" w:type="pct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rPr>
          <w:trHeight w:val="20"/>
        </w:trPr>
        <w:tc>
          <w:tcPr>
            <w:tcW w:w="4073" w:type="pct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 xml:space="preserve">Выявлены нарушения, которые представляют состав преступления, с причинением значительного ущерба третьим лицам (применены санкции, возмещен ущерб) </w:t>
            </w:r>
          </w:p>
        </w:tc>
        <w:tc>
          <w:tcPr>
            <w:tcW w:w="927" w:type="pct"/>
            <w:vAlign w:val="center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производства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видам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Общее основание: чем больше объем производства и шире ассортимент вырабатываемой продукции, тем больше становится риск производства несоответствующей продукции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Производство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вина</w:t>
      </w:r>
      <w:proofErr w:type="spellEnd"/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7"/>
        <w:gridCol w:w="1673"/>
        <w:gridCol w:w="1673"/>
        <w:gridCol w:w="1673"/>
      </w:tblGrid>
      <w:tr w:rsidR="00945420" w:rsidRPr="00945420" w:rsidTr="00021CAD">
        <w:trPr>
          <w:trHeight w:val="20"/>
        </w:trPr>
        <w:tc>
          <w:tcPr>
            <w:tcW w:w="2560" w:type="pct"/>
            <w:vMerge w:val="restar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>Годовой объем производства вина/годовой объем переработки винограда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vMerge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 xml:space="preserve">1-5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6-8</w:t>
            </w:r>
          </w:p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  <w:proofErr w:type="spellEnd"/>
          </w:p>
        </w:tc>
        <w:tc>
          <w:tcPr>
            <w:tcW w:w="786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более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8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  <w:proofErr w:type="spellEnd"/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До 7 тыс. дал (до 100 тонн винограда)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От 7 тыс. до 14 тыс. дал (от 100 до 200 тонн винограда)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Более 14 тыс. дал (более 200 тонн винограда)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Производство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пива</w:t>
      </w:r>
      <w:proofErr w:type="spellEnd"/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7"/>
        <w:gridCol w:w="1673"/>
        <w:gridCol w:w="1673"/>
        <w:gridCol w:w="1673"/>
      </w:tblGrid>
      <w:tr w:rsidR="00945420" w:rsidRPr="00945420" w:rsidTr="00021CAD">
        <w:trPr>
          <w:trHeight w:val="20"/>
        </w:trPr>
        <w:tc>
          <w:tcPr>
            <w:tcW w:w="2560" w:type="pct"/>
            <w:vMerge w:val="restar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Годовой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объем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производства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пива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vMerge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1-5</w:t>
            </w:r>
          </w:p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6-8</w:t>
            </w:r>
          </w:p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  <w:proofErr w:type="spellEnd"/>
          </w:p>
        </w:tc>
        <w:tc>
          <w:tcPr>
            <w:tcW w:w="786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более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8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  <w:proofErr w:type="spellEnd"/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5420">
              <w:rPr>
                <w:rFonts w:ascii="Times New Roman" w:hAnsi="Times New Roman" w:cs="Times New Roman"/>
              </w:rPr>
              <w:t>До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дал</w:t>
            </w:r>
            <w:proofErr w:type="spellEnd"/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5420">
              <w:rPr>
                <w:rFonts w:ascii="Times New Roman" w:hAnsi="Times New Roman" w:cs="Times New Roman"/>
              </w:rPr>
              <w:t>От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до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3000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дал</w:t>
            </w:r>
            <w:proofErr w:type="spellEnd"/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5420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3000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дал</w:t>
            </w:r>
            <w:proofErr w:type="spellEnd"/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Производство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этилового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спирта</w:t>
      </w:r>
      <w:proofErr w:type="spellEnd"/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6"/>
        <w:gridCol w:w="1644"/>
        <w:gridCol w:w="1673"/>
        <w:gridCol w:w="1673"/>
      </w:tblGrid>
      <w:tr w:rsidR="00945420" w:rsidRPr="00945420" w:rsidTr="00021CAD">
        <w:trPr>
          <w:trHeight w:val="20"/>
        </w:trPr>
        <w:tc>
          <w:tcPr>
            <w:tcW w:w="2560" w:type="pct"/>
            <w:vMerge w:val="restar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>Годовой объем производства этилового спирта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vMerge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1</w:t>
            </w:r>
          </w:p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наименовании</w:t>
            </w:r>
            <w:proofErr w:type="spellEnd"/>
          </w:p>
        </w:tc>
        <w:tc>
          <w:tcPr>
            <w:tcW w:w="786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более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  <w:proofErr w:type="spellEnd"/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5420">
              <w:rPr>
                <w:rFonts w:ascii="Times New Roman" w:hAnsi="Times New Roman" w:cs="Times New Roman"/>
              </w:rPr>
              <w:t>До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10000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дал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а/а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5420">
              <w:rPr>
                <w:rFonts w:ascii="Times New Roman" w:hAnsi="Times New Roman" w:cs="Times New Roman"/>
              </w:rPr>
              <w:t>От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10000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до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30000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дал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а/а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5420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30000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дал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а/а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Производство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крепких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алкогольных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напитков</w:t>
      </w:r>
      <w:proofErr w:type="spellEnd"/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7"/>
        <w:gridCol w:w="1673"/>
        <w:gridCol w:w="1673"/>
        <w:gridCol w:w="1673"/>
      </w:tblGrid>
      <w:tr w:rsidR="00945420" w:rsidRPr="00945420" w:rsidTr="00021CAD">
        <w:trPr>
          <w:trHeight w:val="20"/>
        </w:trPr>
        <w:tc>
          <w:tcPr>
            <w:tcW w:w="2560" w:type="pct"/>
            <w:vMerge w:val="restar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>Годовой объем производства крепких алкогольных напитков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vMerge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 xml:space="preserve">1-5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6-8</w:t>
            </w:r>
          </w:p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  <w:proofErr w:type="spellEnd"/>
          </w:p>
        </w:tc>
        <w:tc>
          <w:tcPr>
            <w:tcW w:w="786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Более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8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  <w:proofErr w:type="spellEnd"/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До 10000 тыс. дал а/а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5420">
              <w:rPr>
                <w:rFonts w:ascii="Times New Roman" w:hAnsi="Times New Roman" w:cs="Times New Roman"/>
              </w:rPr>
              <w:t>От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10000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до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30000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дал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а/а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5420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30000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дал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а/а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Специализированные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склады</w:t>
      </w:r>
      <w:proofErr w:type="spellEnd"/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7"/>
        <w:gridCol w:w="1673"/>
        <w:gridCol w:w="1673"/>
        <w:gridCol w:w="1673"/>
      </w:tblGrid>
      <w:tr w:rsidR="00945420" w:rsidRPr="00945420" w:rsidTr="00021CAD">
        <w:trPr>
          <w:trHeight w:val="20"/>
        </w:trPr>
        <w:tc>
          <w:tcPr>
            <w:tcW w:w="2560" w:type="pct"/>
            <w:vMerge w:val="restar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Годовой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оборот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алкогольной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продукции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vMerge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 xml:space="preserve">1-5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  <w:proofErr w:type="spellEnd"/>
          </w:p>
        </w:tc>
        <w:tc>
          <w:tcPr>
            <w:tcW w:w="860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420">
              <w:rPr>
                <w:rFonts w:ascii="Times New Roman" w:hAnsi="Times New Roman" w:cs="Times New Roman"/>
                <w:b/>
              </w:rPr>
              <w:t>6-8</w:t>
            </w:r>
          </w:p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  <w:proofErr w:type="spellEnd"/>
          </w:p>
        </w:tc>
        <w:tc>
          <w:tcPr>
            <w:tcW w:w="786" w:type="pc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более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8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наименований</w:t>
            </w:r>
            <w:proofErr w:type="spellEnd"/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5420">
              <w:rPr>
                <w:rFonts w:ascii="Times New Roman" w:hAnsi="Times New Roman" w:cs="Times New Roman"/>
              </w:rPr>
              <w:t>До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945420">
              <w:rPr>
                <w:rFonts w:ascii="Times New Roman" w:hAnsi="Times New Roman" w:cs="Times New Roman"/>
              </w:rPr>
              <w:t>тыс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бутылок</w:t>
            </w:r>
            <w:proofErr w:type="spellEnd"/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От 50 тыс. до 100 тыс. бутылок</w:t>
            </w:r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</w:tr>
      <w:tr w:rsidR="00945420" w:rsidRPr="00945420" w:rsidTr="00021CAD">
        <w:trPr>
          <w:trHeight w:val="20"/>
        </w:trPr>
        <w:tc>
          <w:tcPr>
            <w:tcW w:w="25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5420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945420">
              <w:rPr>
                <w:rFonts w:ascii="Times New Roman" w:hAnsi="Times New Roman" w:cs="Times New Roman"/>
              </w:rPr>
              <w:t>тыс</w:t>
            </w:r>
            <w:proofErr w:type="spellEnd"/>
            <w:r w:rsidRPr="0094542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420">
              <w:rPr>
                <w:rFonts w:ascii="Times New Roman" w:hAnsi="Times New Roman" w:cs="Times New Roman"/>
              </w:rPr>
              <w:t>бутылок</w:t>
            </w:r>
            <w:proofErr w:type="spellEnd"/>
          </w:p>
        </w:tc>
        <w:tc>
          <w:tcPr>
            <w:tcW w:w="794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Значение данного критерия достаточно изменчиво во времени, поэтому периодически переоцениваются его весомость (значение) и методология присвоения критерия риска.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технико-технологическое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оснащение</w:t>
      </w:r>
      <w:proofErr w:type="spellEnd"/>
      <w:r w:rsidRPr="0094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9"/>
        <w:gridCol w:w="2036"/>
        <w:gridCol w:w="2476"/>
      </w:tblGrid>
      <w:tr w:rsidR="00945420" w:rsidRPr="00945420" w:rsidTr="00021CAD">
        <w:trPr>
          <w:trHeight w:val="20"/>
        </w:trPr>
        <w:tc>
          <w:tcPr>
            <w:tcW w:w="4729" w:type="dxa"/>
            <w:vMerge w:val="restart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>Оснащение основным технологическим оборудованием в эксплуатации</w:t>
            </w:r>
          </w:p>
        </w:tc>
        <w:tc>
          <w:tcPr>
            <w:tcW w:w="4512" w:type="dxa"/>
            <w:gridSpan w:val="2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5420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9454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5420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945420" w:rsidRPr="00240661" w:rsidTr="00021CAD">
        <w:trPr>
          <w:trHeight w:val="20"/>
        </w:trPr>
        <w:tc>
          <w:tcPr>
            <w:tcW w:w="4729" w:type="dxa"/>
            <w:vMerge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 xml:space="preserve">Обладает </w:t>
            </w:r>
            <w:r w:rsidRPr="00945420">
              <w:rPr>
                <w:rFonts w:ascii="Times New Roman" w:hAnsi="Times New Roman" w:cs="Times New Roman"/>
                <w:b/>
              </w:rPr>
              <w:t>HACCP</w:t>
            </w:r>
            <w:r w:rsidRPr="00945420">
              <w:rPr>
                <w:rFonts w:ascii="Times New Roman" w:hAnsi="Times New Roman" w:cs="Times New Roman"/>
                <w:b/>
                <w:lang w:val="ru-RU"/>
              </w:rPr>
              <w:t xml:space="preserve"> или другой релевантной системой менеджмента качества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45420">
              <w:rPr>
                <w:rFonts w:ascii="Times New Roman" w:hAnsi="Times New Roman" w:cs="Times New Roman"/>
                <w:b/>
                <w:lang w:val="ru-RU"/>
              </w:rPr>
              <w:t xml:space="preserve">Не обладает </w:t>
            </w:r>
            <w:r w:rsidRPr="00945420">
              <w:rPr>
                <w:rFonts w:ascii="Times New Roman" w:hAnsi="Times New Roman" w:cs="Times New Roman"/>
                <w:b/>
              </w:rPr>
              <w:t>HACCP</w:t>
            </w:r>
            <w:r w:rsidRPr="00945420">
              <w:rPr>
                <w:rFonts w:ascii="Times New Roman" w:hAnsi="Times New Roman" w:cs="Times New Roman"/>
                <w:b/>
                <w:lang w:val="ru-RU"/>
              </w:rPr>
              <w:t xml:space="preserve"> или другой релевантной системой менеджмента качества</w:t>
            </w:r>
          </w:p>
        </w:tc>
      </w:tr>
      <w:tr w:rsidR="00945420" w:rsidRPr="00945420" w:rsidTr="00021CAD">
        <w:trPr>
          <w:trHeight w:val="20"/>
        </w:trPr>
        <w:tc>
          <w:tcPr>
            <w:tcW w:w="4729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 xml:space="preserve">Укладывается в срок эксплуатации, установленный технической документацией </w:t>
            </w:r>
          </w:p>
        </w:tc>
        <w:tc>
          <w:tcPr>
            <w:tcW w:w="203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</w:tr>
      <w:tr w:rsidR="00945420" w:rsidRPr="00945420" w:rsidTr="00021CAD">
        <w:trPr>
          <w:trHeight w:val="20"/>
        </w:trPr>
        <w:tc>
          <w:tcPr>
            <w:tcW w:w="4729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Срок эксплуатации продлен согласно процедуре, установленной законодательством</w:t>
            </w:r>
          </w:p>
        </w:tc>
        <w:tc>
          <w:tcPr>
            <w:tcW w:w="203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3</w:t>
            </w:r>
          </w:p>
        </w:tc>
      </w:tr>
      <w:tr w:rsidR="00945420" w:rsidRPr="00945420" w:rsidTr="00021CAD">
        <w:trPr>
          <w:trHeight w:val="20"/>
        </w:trPr>
        <w:tc>
          <w:tcPr>
            <w:tcW w:w="4729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5420">
              <w:rPr>
                <w:rFonts w:ascii="Times New Roman" w:hAnsi="Times New Roman" w:cs="Times New Roman"/>
                <w:lang w:val="ru-RU"/>
              </w:rPr>
              <w:t>Превышен срок эксплуатации, установленный соответствующей технической документацией (и не был продлен или предусмотрено его продление)</w:t>
            </w:r>
          </w:p>
        </w:tc>
        <w:tc>
          <w:tcPr>
            <w:tcW w:w="203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420">
              <w:rPr>
                <w:rFonts w:ascii="Times New Roman" w:hAnsi="Times New Roman" w:cs="Times New Roman"/>
              </w:rPr>
              <w:t>5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945420">
        <w:rPr>
          <w:rFonts w:ascii="Times New Roman" w:hAnsi="Times New Roman" w:cs="Times New Roman"/>
          <w:b/>
          <w:sz w:val="28"/>
          <w:szCs w:val="28"/>
        </w:rPr>
        <w:t>Весомость</w:t>
      </w:r>
      <w:proofErr w:type="spellEnd"/>
      <w:r w:rsidRPr="00945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b/>
          <w:sz w:val="28"/>
          <w:szCs w:val="28"/>
        </w:rPr>
        <w:t>критериев</w:t>
      </w:r>
      <w:proofErr w:type="spellEnd"/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8. Для каждого критерия устанавливается его весомость по отношению ко всем выбранным критериям.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9. Устанавливается весомость риска по каждому отдельному критерию риска в долях, с тем чтобы суммарная величина всех критериев составила единицу. 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Весомость</w:t>
            </w:r>
            <w:proofErr w:type="spellEnd"/>
          </w:p>
        </w:tc>
      </w:tr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  <w:proofErr w:type="spellEnd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538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  <w:proofErr w:type="spellEnd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538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  <w:proofErr w:type="spellEnd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538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  <w:proofErr w:type="spellEnd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  <w:tc>
          <w:tcPr>
            <w:tcW w:w="538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  <w:proofErr w:type="spellEnd"/>
            <w:r w:rsidRPr="00945420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  <w:tc>
          <w:tcPr>
            <w:tcW w:w="538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45420" w:rsidRPr="00945420" w:rsidTr="00021CAD">
        <w:trPr>
          <w:trHeight w:val="20"/>
        </w:trPr>
        <w:tc>
          <w:tcPr>
            <w:tcW w:w="3828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386" w:type="dxa"/>
            <w:shd w:val="clear" w:color="auto" w:fill="auto"/>
          </w:tcPr>
          <w:p w:rsidR="00945420" w:rsidRPr="00945420" w:rsidRDefault="00945420" w:rsidP="00945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2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945420">
        <w:rPr>
          <w:rFonts w:ascii="Times New Roman" w:hAnsi="Times New Roman" w:cs="Times New Roman"/>
          <w:b/>
          <w:sz w:val="28"/>
          <w:szCs w:val="28"/>
        </w:rPr>
        <w:t>Применение</w:t>
      </w:r>
      <w:proofErr w:type="spellEnd"/>
      <w:r w:rsidRPr="00945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b/>
          <w:sz w:val="28"/>
          <w:szCs w:val="28"/>
        </w:rPr>
        <w:t>критериев</w:t>
      </w:r>
      <w:proofErr w:type="spellEnd"/>
      <w:r w:rsidRPr="00945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945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b/>
          <w:sz w:val="28"/>
          <w:szCs w:val="28"/>
        </w:rPr>
        <w:t>отношению</w:t>
      </w:r>
      <w:proofErr w:type="spellEnd"/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945420">
        <w:rPr>
          <w:rFonts w:ascii="Times New Roman" w:hAnsi="Times New Roman" w:cs="Times New Roman"/>
          <w:b/>
          <w:sz w:val="28"/>
          <w:szCs w:val="28"/>
        </w:rPr>
        <w:t>физическим</w:t>
      </w:r>
      <w:proofErr w:type="spellEnd"/>
      <w:r w:rsidRPr="0094542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45420">
        <w:rPr>
          <w:rFonts w:ascii="Times New Roman" w:hAnsi="Times New Roman" w:cs="Times New Roman"/>
          <w:b/>
          <w:sz w:val="28"/>
          <w:szCs w:val="28"/>
        </w:rPr>
        <w:t>юридическим</w:t>
      </w:r>
      <w:proofErr w:type="spellEnd"/>
      <w:r w:rsidRPr="00945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5420">
        <w:rPr>
          <w:rFonts w:ascii="Times New Roman" w:hAnsi="Times New Roman" w:cs="Times New Roman"/>
          <w:b/>
          <w:sz w:val="28"/>
          <w:szCs w:val="28"/>
        </w:rPr>
        <w:t>лицам</w:t>
      </w:r>
      <w:proofErr w:type="spellEnd"/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10. Определяется средневзвешенная специфическая степень риска на основе следующей формулы: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lang w:val="ro-MD"/>
              </w:rPr>
            </m:ctrlPr>
          </m:sSubPr>
          <m:e>
            <m:r>
              <w:rPr>
                <w:rFonts w:ascii="Cambria Math" w:hAnsi="Cambria Math" w:cs="Times New Roman"/>
                <w:lang w:val="ro-MD"/>
              </w:rPr>
              <m:t>R</m:t>
            </m:r>
          </m:e>
          <m:sub>
            <m:r>
              <w:rPr>
                <w:rFonts w:ascii="Cambria Math" w:hAnsi="Cambria Math" w:cs="Times New Roman"/>
                <w:lang w:val="ro-MD"/>
              </w:rPr>
              <m:t>g</m:t>
            </m:r>
          </m:sub>
        </m:sSub>
        <m:r>
          <w:rPr>
            <w:rFonts w:ascii="Cambria Math" w:hAnsi="Times New Roman" w:cs="Times New Roman"/>
            <w:lang w:val="ro-MD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lang w:val="ro-MD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D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D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D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D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lang w:val="ro-MD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D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D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D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D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lang w:val="ro-MD"/>
              </w:rPr>
              <m:t>+</m:t>
            </m:r>
            <m:r>
              <w:rPr>
                <w:rFonts w:ascii="Cambria Math" w:hAnsi="Cambria Math" w:cs="Times New Roman"/>
                <w:lang w:val="ro-MD"/>
              </w:rPr>
              <m:t>⋯</m:t>
            </m:r>
            <m:r>
              <w:rPr>
                <w:rFonts w:ascii="Cambria Math" w:hAnsi="Times New Roman" w:cs="Times New Roman"/>
                <w:lang w:val="ro-MD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D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lang w:val="ro-MD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D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lang w:val="ro-MD"/>
                  </w:rPr>
                  <m:t>n</m:t>
                </m:r>
              </m:sub>
            </m:sSub>
          </m:e>
        </m:d>
        <m:r>
          <w:rPr>
            <w:rFonts w:ascii="Cambria Math" w:hAnsi="Times New Roman" w:cs="Times New Roman"/>
            <w:lang w:val="ro-MD"/>
          </w:rPr>
          <m:t>×</m:t>
        </m:r>
        <m:r>
          <w:rPr>
            <w:rFonts w:ascii="Cambria Math" w:hAnsi="Times New Roman" w:cs="Times New Roman"/>
            <w:lang w:val="ro-MD"/>
          </w:rPr>
          <m:t>200</m:t>
        </m:r>
      </m:oMath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420">
        <w:rPr>
          <w:rFonts w:ascii="Times New Roman" w:hAnsi="Times New Roman" w:cs="Times New Roman"/>
          <w:sz w:val="28"/>
          <w:szCs w:val="28"/>
        </w:rPr>
        <w:t>или</w:t>
      </w:r>
      <w:proofErr w:type="spellEnd"/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lang w:val="ro-MD"/>
              </w:rPr>
            </m:ctrlPr>
          </m:sSubPr>
          <m:e>
            <m:r>
              <w:rPr>
                <w:rFonts w:ascii="Cambria Math" w:hAnsi="Cambria Math" w:cs="Times New Roman"/>
                <w:lang w:val="ro-MD"/>
              </w:rPr>
              <m:t>R</m:t>
            </m:r>
          </m:e>
          <m:sub>
            <m:r>
              <w:rPr>
                <w:rFonts w:ascii="Cambria Math" w:hAnsi="Cambria Math" w:cs="Times New Roman"/>
                <w:lang w:val="ro-MD"/>
              </w:rPr>
              <m:t>g</m:t>
            </m:r>
          </m:sub>
        </m:sSub>
        <m:r>
          <w:rPr>
            <w:rFonts w:ascii="Cambria Math" w:hAnsi="Times New Roman" w:cs="Times New Roman"/>
            <w:lang w:val="ro-MD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lang w:val="ro-MD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lang w:val="ro-MD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lang w:val="ro-MD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lang w:val="ro-MD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D"/>
                  </w:rPr>
                  <m:t>R</m:t>
                </m:r>
              </m:e>
            </m:nary>
          </m:e>
        </m:d>
        <m:r>
          <w:rPr>
            <w:rFonts w:ascii="Cambria Math" w:hAnsi="Times New Roman" w:cs="Times New Roman"/>
            <w:lang w:val="ro-MD"/>
          </w:rPr>
          <m:t>×</m:t>
        </m:r>
        <m:r>
          <w:rPr>
            <w:rFonts w:ascii="Cambria Math" w:hAnsi="Times New Roman" w:cs="Times New Roman"/>
            <w:lang w:val="ro-MD"/>
          </w:rPr>
          <m:t>200</m:t>
        </m:r>
      </m:oMath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5420">
        <w:rPr>
          <w:rFonts w:ascii="Times New Roman" w:hAnsi="Times New Roman" w:cs="Times New Roman"/>
          <w:i/>
          <w:sz w:val="28"/>
          <w:szCs w:val="28"/>
        </w:rPr>
        <w:t>R</w:t>
      </w:r>
      <w:r w:rsidRPr="00945420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proofErr w:type="spellEnd"/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 – общая степень риска, связанного с потенциальным предметом контроля;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1, 2, </w:t>
      </w:r>
      <w:r w:rsidRPr="00945420">
        <w:rPr>
          <w:rFonts w:ascii="Times New Roman" w:hAnsi="Times New Roman" w:cs="Times New Roman"/>
          <w:i/>
          <w:sz w:val="28"/>
          <w:szCs w:val="28"/>
        </w:rPr>
        <w:t>n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 – критерии риска;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i/>
          <w:sz w:val="28"/>
          <w:szCs w:val="28"/>
        </w:rPr>
        <w:t>w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 – весомость каждого критерия риска, где сумма индивидуальных значений весомости будет равна единице;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i/>
          <w:sz w:val="28"/>
          <w:szCs w:val="28"/>
        </w:rPr>
        <w:t>R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 – уровень риска для каждого критерия.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11. После применения формулы, установленной в пункте 10 настоящей Методологии, общий риск будет варьировать от 200 до 1000 единиц, где экономические агенты, которым присуждаются 200 единиц, ассоциируются с самым низким риском.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12. В зависимости от полученного балла в результате применения формулы, субъекты контроля упорядочиваются, таким образом, в верхней части находятся лица, которые получили максимальный балл (1000 единиц). Экономические агенты в верхней части списка ассоциируются с более высоким риском и подлежат проверке в приоритетном порядке.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13. На основе классификации Инспекция составляет проект графика плановых квартальных проверок, который отправляется для регистрации Государственной канцелярии, в порядке и сроки, установленные Правительством.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14. Классификация используется Инспекцией для установления рекомендуемой частоты проверок для каждого экономического агента. Рекомендуемая частота используется для установления приоритетов для внезапного контроля в случае, когда несколько предприятий одновременно подпадают под основания и условия, установленные в статье 19 Закона      № 131 от 8 июня 2012 года о государственном контроле предпринимательской деятельности.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 xml:space="preserve">15. В конце периода, на который выполнено планирование, Инспекция разрабатывает отчет, в котором определяется весомость экономических агентов, подлежащих проверке от общего числа, изменяет, по необходимости, баллы, ранее присвоенные на основе информации, собранной в ходе проверки, изменения ситуации по сравнению с датой последней проведенной проверки, актуализации профиля каждого лица. 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b/>
          <w:sz w:val="28"/>
          <w:szCs w:val="28"/>
        </w:rPr>
        <w:t>VI</w:t>
      </w:r>
      <w:r w:rsidRPr="00945420">
        <w:rPr>
          <w:rFonts w:ascii="Times New Roman" w:hAnsi="Times New Roman" w:cs="Times New Roman"/>
          <w:b/>
          <w:sz w:val="28"/>
          <w:szCs w:val="28"/>
          <w:lang w:val="ru-RU"/>
        </w:rPr>
        <w:t>. Создание и поддержка информационных систем,</w:t>
      </w:r>
    </w:p>
    <w:p w:rsidR="00945420" w:rsidRPr="00945420" w:rsidRDefault="00945420" w:rsidP="00945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b/>
          <w:sz w:val="28"/>
          <w:szCs w:val="28"/>
          <w:lang w:val="ru-RU"/>
        </w:rPr>
        <w:t>необходимых для использования критериев риска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16. Для разработки и поддержания классификации экономических агентов согласно представленному риску, Инспекция ведет базу данных, которая отражает: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o-RO"/>
        </w:rPr>
        <w:t xml:space="preserve">a) 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t>список всех лиц, подлежащих контролю, с личными идентификационными данными;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o-RO"/>
        </w:rPr>
        <w:t xml:space="preserve">b) 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t>историю деятельности по  контролю;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420">
        <w:rPr>
          <w:rFonts w:ascii="Times New Roman" w:hAnsi="Times New Roman" w:cs="Times New Roman"/>
          <w:sz w:val="28"/>
          <w:szCs w:val="28"/>
          <w:lang w:val="ru-RU"/>
        </w:rPr>
        <w:t>с) профиль каждого экономического агента с информацией, соответствующей критериям риска, используемой для классификации данного агента, и т.д.</w:t>
      </w:r>
    </w:p>
    <w:p w:rsidR="00945420" w:rsidRPr="00945420" w:rsidRDefault="00945420" w:rsidP="00945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209" w:rsidRPr="00945420" w:rsidRDefault="00945420" w:rsidP="00945420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945420">
        <w:rPr>
          <w:rFonts w:ascii="Times New Roman" w:hAnsi="Times New Roman" w:cs="Times New Roman"/>
          <w:sz w:val="28"/>
          <w:szCs w:val="28"/>
          <w:lang w:val="ru-RU"/>
        </w:rPr>
        <w:t>17. Инспекция пересматривает и обновляет информацию, необходимую для применения критериев риска, не реже одного раз</w:t>
      </w:r>
    </w:p>
    <w:sectPr w:rsidR="00773209" w:rsidRPr="00945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0"/>
    <w:rsid w:val="00240661"/>
    <w:rsid w:val="00773209"/>
    <w:rsid w:val="0094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2EE4D-55EA-4139-9C90-391C1824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Vladyslav Pinchuk</cp:lastModifiedBy>
  <cp:revision>2</cp:revision>
  <dcterms:created xsi:type="dcterms:W3CDTF">2017-01-29T09:58:00Z</dcterms:created>
  <dcterms:modified xsi:type="dcterms:W3CDTF">2017-01-29T09:58:00Z</dcterms:modified>
</cp:coreProperties>
</file>